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comments.xml" ContentType="application/vnd.openxmlformats-officedocument.wordprocessingml.comment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4"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BlackStrips"/>
      </w:pPr>
      <w:r>
        <w:t>Charltons - 法讯 - 中国 - 2018年3月17日</w:t>
      </w:r>
    </w:p>
    <w:p>
      <w:pPr>
        <w:pStyle w:val="ReadOnline"/>
      </w:pPr>
      <w:hyperlink r:id="rId9">
        <w:r>
          <w:rPr/>
          <w:t>online version</w:t>
        </w:r>
      </w:hyperlink>
    </w:p>
    <w:p>
      <w:pPr>
        <w:pStyle w:val="Title"/>
      </w:pPr>
      <w:r>
        <w:t>中国证监会就《外商投资证券公司管理办法》公开征求意见</w:t>
      </w:r>
    </w:p>
    <w:p>
      <w:pPr>
        <w:pStyle w:val="Heading2"/>
      </w:pPr>
      <w:bookmarkStart w:id="21" w:name="资本市场"/>
      <w:r>
        <w:t xml:space="preserve">资本市场</w:t>
      </w:r>
      <w:bookmarkEnd w:id="21"/>
    </w:p>
    <w:p>
      <w:pPr>
        <w:pStyle w:val="Heading3"/>
      </w:pPr>
      <w:bookmarkStart w:id="22" w:name="中国证监会就外商投资证券公司管理办法公开征求意见"/>
      <w:r>
        <w:t xml:space="preserve">中国证监会就《外商投资证券公司管理办法》公开征求意见</w:t>
      </w:r>
      <w:bookmarkEnd w:id="22"/>
    </w:p>
    <w:p>
      <w:pPr>
        <w:pStyle w:val="FirstParagraph"/>
      </w:pPr>
      <w:r>
        <w:t xml:space="preserve">为进一步扩大证券业对外开放，促进高质量资本市场建设，中国证监会修订《外资参股证券公司设立规则》，拟以《外商投资证券公司管理办法（征求意见稿）》（以下简称《办法》）重新发布，现向社会公开征求意见。</w:t>
      </w:r>
    </w:p>
    <w:p>
      <w:pPr>
        <w:pStyle w:val="TextBody"/>
      </w:pPr>
      <w:r>
        <w:t xml:space="preserve">《办法》修订内容主要涉及以下几个方面：一是允许外资控股合资证券公司。合资证券公司的境内股东条件与其他证券公司的股东条件一致。二是逐步放开合资证券公司业务范围。三是统一外资持有上市和非上市两类证券公司股权的比例。四是放宽单个境外投资者持有上市证券公司股份的比例限制。要求“通过证券交易所的证券交易或者协议收购方式，单个境外投资者持有，或者通过协议、其他安排与他人共同持有上市证券公司已发行的股份比例不得超过30%”。五是完善境外股东条件。 境外股东须为金融机构，且具有良好的国际声誉和经营业绩，近3年业务规模、收入、利润居于国际前列，近3年长期信用均保持在高水平。六是明确境内股东的实际控制人身份变更导致内资证券公司性质变更相关政策。</w:t>
      </w:r>
    </w:p>
    <w:p>
      <w:pPr>
        <w:pStyle w:val="TextBody"/>
      </w:pPr>
      <w:hyperlink r:id="rId23">
        <w:r>
          <w:rPr>
            <w:rStyle w:val="Hyperlink"/>
          </w:rPr>
          <w:t xml:space="preserve">http://www.gov.cn/xinwen/2018-03/10/content_5272889.htm</w:t>
        </w:r>
      </w:hyperlink>
    </w:p>
    <w:p>
      <w:pPr>
        <w:pStyle w:val="Heading3"/>
      </w:pPr>
      <w:bookmarkStart w:id="24" w:name="深圳证券交易所就上市公司重大违法强制退市实施办法征求意见"/>
      <w:r>
        <w:t xml:space="preserve">深圳证券交易所就上市公司重大违法强制退市实施办法征求意见</w:t>
      </w:r>
      <w:bookmarkEnd w:id="24"/>
    </w:p>
    <w:p>
      <w:pPr>
        <w:pStyle w:val="FirstParagraph"/>
      </w:pPr>
      <w:r>
        <w:t xml:space="preserve">为贯彻落实中国证监会《关于修改〈关于改革完善并严格实施上市公司退市制度的若干意见〉的决定》（以下简称《决定》），健全资本市场功能，提升上市公司质量，保护投资者合法权益，日前深圳证券交易所制定了《上市公司重大违法强制退市实施办法》（以下简称《办法》），并向社会公开征求意见。</w:t>
      </w:r>
    </w:p>
    <w:p>
      <w:pPr>
        <w:pStyle w:val="TextBody"/>
      </w:pPr>
      <w:r>
        <w:t xml:space="preserve">《办法》在以下方面着力优化重大违法退市实施程序，提高退市效率。一是缩短重大违法退市情形的暂停上市期间，由12个月缩短为6个月。二是从严把握重大违法公司恢复上市。重大违法公司被暂停上市后，不再考虑公司的整改、补偿等情况，六个月期满后将直接予以终止上市。三是收紧重大违法退市公司的重新上市条件，规定因欺诈发行退市的公司不得申请重新上市，“一退到底”；因其他重大违法退市的公司申请重新上市时间间隔由一年延长为五年。为确保重大违法强制退市程序公平、公正、公开，《办法》还设置了申辩、听证及复核等程序，对上市公司的合法权利提供了必要保障。</w:t>
      </w:r>
    </w:p>
    <w:p>
      <w:pPr>
        <w:pStyle w:val="TextBody"/>
      </w:pPr>
      <w:hyperlink r:id="rId25">
        <w:r>
          <w:rPr>
            <w:rStyle w:val="Hyperlink"/>
          </w:rPr>
          <w:t xml:space="preserve">http://www.szse.cn/main/aboutus/bsyw/39778261.shtml</w:t>
        </w:r>
      </w:hyperlink>
    </w:p>
    <w:p>
      <w:pPr>
        <w:pStyle w:val="Heading3"/>
      </w:pPr>
      <w:bookmarkStart w:id="26" w:name="五部门支持商业银行拓宽资本补充渠道"/>
      <w:r>
        <w:t xml:space="preserve">五部门支持商业银行拓宽资本补充渠道</w:t>
      </w:r>
      <w:bookmarkEnd w:id="26"/>
    </w:p>
    <w:p>
      <w:pPr>
        <w:pStyle w:val="FirstParagraph"/>
      </w:pPr>
      <w:r>
        <w:t xml:space="preserve">银监会、人民银行、证监会、保监会和外汇局近日联合发布文件，从扩宽商业银行资本工具发行渠道、研究增加资本工具种类、扩大投资者群体等方面，支持商业银行拓宽资本补充渠道，提升银行体系稳健性。</w:t>
      </w:r>
    </w:p>
    <w:p>
      <w:pPr>
        <w:pStyle w:val="TextBody"/>
      </w:pPr>
      <w:r>
        <w:t xml:space="preserve">意见提出，积极研究增加资本工具种类。总结经验并研究完善配套规则，为银行发行无固定期限资本债券、转股型二级资本债券、含定期转股条款资本债券和总损失吸收能力债务工具等资本工具创造有利条件。意见提出，在防范风险的前提下，研究社保基金、保险公司、证券机构、基金公司等机构对商业银行资本工具的投资政策，扩大商业银行资本工具的投资主体。意见提出，商业银行应将资本补充与资本规划相结合，统筹考虑资产增长、结构调整、内部资本留存、外部环境等因素，科学合理设定资本补充计划。</w:t>
      </w:r>
    </w:p>
    <w:p>
      <w:pPr>
        <w:pStyle w:val="TextBody"/>
      </w:pPr>
      <w:hyperlink r:id="rId27">
        <w:r>
          <w:rPr>
            <w:rStyle w:val="Hyperlink"/>
          </w:rPr>
          <w:t xml:space="preserve">http://www.xinhuanet.com/fortune/2018-03/12/c_1122526843.htm</w:t>
        </w:r>
      </w:hyperlink>
    </w:p>
    <w:p>
      <w:pPr>
        <w:pStyle w:val="Heading3"/>
      </w:pPr>
      <w:bookmarkStart w:id="28" w:name="msci发布12个新的中国相关指数"/>
      <w:r>
        <w:t xml:space="preserve">MSCI发布12个新的中国相关指数</w:t>
      </w:r>
      <w:bookmarkEnd w:id="28"/>
    </w:p>
    <w:p>
      <w:pPr>
        <w:pStyle w:val="FirstParagraph"/>
      </w:pPr>
      <w:r>
        <w:t xml:space="preserve">MSCI近日发布12个新的中国指数。MSCI称，这是为了让国际投资者更好应对A股下一步纳入MSCI的进程。MSCI称，新的MSCI中国A股指数反映出A股的投资机会集合，参照全球可投资市场指数（GIMI）编制方法，以及股票互联互通机制中对大盘股、中盘股的交易限制所编制。</w:t>
      </w:r>
    </w:p>
    <w:p>
      <w:pPr>
        <w:pStyle w:val="TextBody"/>
      </w:pPr>
      <w:r>
        <w:t xml:space="preserve">根据MSCI公告，这些新指数将扩充MSCI中国全部股票指数和MSCI中国A股国际指数。MSCI亚太区指数产品主管Theodore Niggli表示，MSCI对于这组新中国指数的发布感到高兴。随着中国市场自由化和国际化程度的提升，投资者表达出需要更多关于这个市场的知识和工具的需求，以作出更好的投资选择。MSCI致力于提供一套完整的创新产品，包括指数、风控模型、和ESG（环境、社会和公司治理）评分，从而达到帮助投资者的目的。</w:t>
      </w:r>
    </w:p>
    <w:p>
      <w:pPr>
        <w:pStyle w:val="TextBody"/>
      </w:pPr>
      <w:hyperlink r:id="rId29">
        <w:r>
          <w:rPr>
            <w:rStyle w:val="Hyperlink"/>
          </w:rPr>
          <w:t xml:space="preserve">http://www.cfen.com.cn/cjxw/jr/201803/t20180314_2838080.html</w:t>
        </w:r>
      </w:hyperlink>
    </w:p>
    <w:p>
      <w:pPr>
        <w:pStyle w:val="Heading2"/>
      </w:pPr>
      <w:bookmarkStart w:id="30" w:name="保险"/>
      <w:r>
        <w:t xml:space="preserve">保险</w:t>
      </w:r>
      <w:bookmarkEnd w:id="30"/>
    </w:p>
    <w:p>
      <w:pPr>
        <w:pStyle w:val="Heading3"/>
      </w:pPr>
      <w:bookmarkStart w:id="31" w:name="中国保监会修订发布保险公司股权管理办法单一股东持股比例上限降至13"/>
      <w:r>
        <w:t xml:space="preserve">中国保监会修订发布《保险公司股权管理办法》：单一股东持股比例上限降至1/3</w:t>
      </w:r>
      <w:bookmarkEnd w:id="31"/>
    </w:p>
    <w:p>
      <w:pPr>
        <w:pStyle w:val="FirstParagraph"/>
      </w:pPr>
      <w:r>
        <w:t xml:space="preserve">中国保监会近日举行新闻发布会，正式发布修订后的《保险公司股权管理办法》。新办法大幅提高投资保险公司门槛，将单一股东持股比例上限从51%降低至三分之一，并明确对股权实施分类监管。保监会相关负责人介绍说，此次修订的管理办法，由原来的37条调整到现在的94条，涵盖了尽可能多的目前行业中发生的问题。</w:t>
      </w:r>
    </w:p>
    <w:p>
      <w:pPr>
        <w:pStyle w:val="TextBody"/>
      </w:pPr>
      <w:r>
        <w:t xml:space="preserve">根据股东的持股比例和对保险公司经营管理的影响，新办法将保险公司股东划分为财务Ⅰ类（持有股权不足5%）、财务Ⅱ类（持有股权5%以上但不足15%）、战略类（持有股权15%以上但不足三分之一）、控制类（持有股权三分之一以上）四个类型，对其采取不同的监管政策和标准，并将单一股东持股比例上限由51％降为三分之一。另外，在加大对股东行为的监管力度上，实施穿透监管，丰富监管手段，明确退出机制，对违规股东视情节采取责令转让股权、撤销行政许可、限制投资保险业等监管措施，坚决打击违法违规行为。</w:t>
      </w:r>
    </w:p>
    <w:p>
      <w:pPr>
        <w:pStyle w:val="TextBody"/>
      </w:pPr>
      <w:hyperlink r:id="rId32">
        <w:r>
          <w:rPr>
            <w:rStyle w:val="Hyperlink"/>
          </w:rPr>
          <w:t xml:space="preserve">http://news.cctv.com/2018/03/08/ARTI8tPjh6fjSm0BZKe9yIvO180308.shtml</w:t>
        </w:r>
      </w:hyperlink>
    </w:p>
    <w:p>
      <w:pPr>
        <w:pStyle w:val="Heading2"/>
      </w:pPr>
      <w:bookmarkStart w:id="33" w:name="税收"/>
      <w:r>
        <w:t xml:space="preserve">税收</w:t>
      </w:r>
      <w:bookmarkEnd w:id="33"/>
    </w:p>
    <w:p>
      <w:pPr>
        <w:pStyle w:val="Heading3"/>
      </w:pPr>
      <w:bookmarkStart w:id="34" w:name="美国宣布对进口钢铁和铝产品征收高关税"/>
      <w:r>
        <w:t xml:space="preserve">美国宣布对进口钢铁和铝产品征收高关税</w:t>
      </w:r>
      <w:bookmarkEnd w:id="34"/>
    </w:p>
    <w:p>
      <w:pPr>
        <w:pStyle w:val="FirstParagraph"/>
      </w:pPr>
      <w:r>
        <w:t xml:space="preserve">美国总统特朗普近日签署公告对进口钢铁和铝产品征收高关税。美国的这一最新贸易保护措施已在美国国内以及国际社会遭到广泛反对，特朗普在白宫宣布，美国将对进口钢铁征收25%的关税，对进口铝产品征收10%的关税。关税措施将在15天后正式生效。</w:t>
      </w:r>
    </w:p>
    <w:p>
      <w:pPr>
        <w:pStyle w:val="TextBody"/>
      </w:pPr>
      <w:r>
        <w:t xml:space="preserve">此外，鉴于目前美国、加拿大和墨西哥三国正在重谈北美自由贸易协定，特朗普表示加拿大和墨西哥将暂时被豁免相关关税。同时，其他经济体也有机会被豁免相关关税，美方由美国贸易代表负责具体谈判。征收这两项高关税的依据是美国商务部进行的“232调查”。根据美国《1962年贸易扩展法》第232条款，美国商务部有权对进口产品是否损害美国国家安全启动调查。美国商务部2017年4月分别对进口钢铁和铝产品启动“232调查”，并于今年1月向特朗普提交了调查报告。</w:t>
      </w:r>
    </w:p>
    <w:p>
      <w:pPr>
        <w:pStyle w:val="TextBody"/>
      </w:pPr>
      <w:hyperlink r:id="rId35">
        <w:r>
          <w:rPr>
            <w:rStyle w:val="Hyperlink"/>
          </w:rPr>
          <w:t xml:space="preserve">http://www.xinhuanet.com/world/2018-03/09/c_1122509186.htm</w:t>
        </w:r>
      </w:hyperlink>
    </w:p>
    <w:p>
      <w:pPr>
        <w:pStyle w:val="Heading2"/>
      </w:pPr>
      <w:bookmarkStart w:id="36" w:name="行业"/>
      <w:r>
        <w:t xml:space="preserve">行业</w:t>
      </w:r>
      <w:bookmarkEnd w:id="36"/>
    </w:p>
    <w:p>
      <w:pPr>
        <w:pStyle w:val="Heading3"/>
      </w:pPr>
      <w:bookmarkStart w:id="37" w:name="深圳拟立法海域使用权可通过公开拍卖出让取得"/>
      <w:r>
        <w:t xml:space="preserve">深圳拟立法：海域使用权可通过公开拍卖出让取得</w:t>
      </w:r>
      <w:bookmarkEnd w:id="37"/>
    </w:p>
    <w:p>
      <w:pPr>
        <w:pStyle w:val="FirstParagraph"/>
      </w:pPr>
      <w:r>
        <w:t xml:space="preserve">近日，从深圳市法制办获悉，为加强海洋环境保护，促进海域资源的合理开发和可持续利用，拓展城市发展空间，深圳市规划国土委（市海洋局）已起草了《深圳经济特区海域管理条例（征求意见稿）》（以下简称《条例》）。</w:t>
      </w:r>
    </w:p>
    <w:p>
      <w:pPr>
        <w:pStyle w:val="TextBody"/>
      </w:pPr>
      <w:r>
        <w:t xml:space="preserve">《条例》此次拟提出，在海域使用权一级市场，建立海域使用权公开出让制度，由海洋主管部门制定申请批准使用海域目录。属于目录外的用海或同一海域有两个以上意向用海人的用海，将采取招拍挂方式出让。“具体而言，属于目录外且不需填海的用海，将对用海申请进行公示，公示期内有其他符合条件的用海意向人的，就采取招拍挂方式出让。否则，以原用海意向人作为申请人办理用海审批。属于目录外且需填海的用海，则直接采取招拍挂方式出让。”《条例》还规范和严格控制围填海造地的活动，理顺海域与土地的转换机制。在填海用途上，用海项目必须属于城市基础设施、公共服务设施以及市政府批准重大海洋产业项目，才可实施填海造地。</w:t>
      </w:r>
    </w:p>
    <w:p>
      <w:pPr>
        <w:pStyle w:val="TextBody"/>
      </w:pPr>
      <w:hyperlink r:id="rId38">
        <w:r>
          <w:rPr>
            <w:rStyle w:val="Hyperlink"/>
          </w:rPr>
          <w:t xml:space="preserve">http://news.ifeng.com/a/20180312/56665373_0.shtml</w:t>
        </w:r>
      </w:hyperlink>
    </w:p>
    <w:p>
      <w:pPr>
        <w:pStyle w:val="Heading3"/>
      </w:pPr>
      <w:bookmarkStart w:id="39" w:name="江苏省出台推进物流降本增效实施意见"/>
      <w:r>
        <w:t xml:space="preserve">江苏省出台推进物流降本增效实施意见</w:t>
      </w:r>
      <w:bookmarkEnd w:id="39"/>
    </w:p>
    <w:p>
      <w:pPr>
        <w:pStyle w:val="FirstParagraph"/>
      </w:pPr>
      <w:r>
        <w:t xml:space="preserve">近日，江苏省政府召开新闻发布会，解读《关于进一步推进物流降本增效促进实体经济发展的实施意见》（以下简称《实施意见》）。经初步测算，其中政策措施的出台一年可为企业降低物流成本30亿元以上。</w:t>
      </w:r>
    </w:p>
    <w:p>
      <w:pPr>
        <w:pStyle w:val="TextBody"/>
      </w:pPr>
      <w:r>
        <w:t xml:space="preserve">《实施意见》分为深化“放管服”改革、推进降税清费、提升枢纽通道物流服务能力、发展智慧物流、推进制造业供应链应用创新、加快城乡物流网络建设、加强物流标准化建设、充分发挥示范带动作用、强化要素保障力度等九大部分，共提出34条政策措施。《实施意见》着重针对制约我省降低物流成本的关键领域和薄弱环节，提出降低水路运输收费、推进连云港－霍尔果斯新亚欧陆海联运通道建设、促进制造业供应链应用创新等一系列政策措施。 比如，“将全省交通船闸过闸费、水利船闸过闸费（不含经营性船闸）分别在现有征收标准上给予20%、10%的优惠政策延续到2020年12月31日，对集装箱货运船舶过交通船闸、水利船闸免收过闸费”，这项政策一年将为全省企业减少物流成本约3亿元。</w:t>
      </w:r>
    </w:p>
    <w:p>
      <w:pPr>
        <w:pStyle w:val="TextBody"/>
      </w:pPr>
      <w:hyperlink r:id="rId40">
        <w:r>
          <w:rPr>
            <w:rStyle w:val="Hyperlink"/>
          </w:rPr>
          <w:t xml:space="preserve">http://www.gov.cn/xinwen/2018-03/07/content_5271687.htm</w:t>
        </w:r>
      </w:hyperlink>
    </w:p>
    <w:p>
      <w:pPr>
        <w:pStyle w:val="Heading3"/>
      </w:pPr>
      <w:bookmarkStart w:id="41" w:name="广东拟出台化妆品安全条例擅自销售分装化妆品属违法行为"/>
      <w:r>
        <w:t xml:space="preserve">广东拟出台化妆品安全条例，擅自销售分装化妆品属违法行为</w:t>
      </w:r>
      <w:bookmarkEnd w:id="41"/>
    </w:p>
    <w:p>
      <w:pPr>
        <w:pStyle w:val="FirstParagraph"/>
      </w:pPr>
      <w:r>
        <w:t xml:space="preserve">近日，广东拟出台《广东省化妆品安全条例》，条例规定了网售化妆品要实名，擅自销售分装、配制化妆品属违法行为。正在向社会公开征求意见的《广东省化妆品安全条例》规定，禁止销售的化妆品包含14类，包括未取得化妆品生产许可证企业生产的或者超出许可范围生产的化妆品、化妆品经营者擅自分装、配制的化妆品等。规定明确，将上述产品提供经营性服务或者作为促销赠品、有奖销售活动奖品的，视同经营行为。</w:t>
      </w:r>
    </w:p>
    <w:p>
      <w:pPr>
        <w:pStyle w:val="TextBody"/>
      </w:pPr>
      <w:r>
        <w:t xml:space="preserve">征求意见稿明确，违反该项规定的，将由县级以上人民政府食品药品监督管理部门没收违法所得、违法经营的化妆品；违法经营的化妆品货值金额不足一千元的，并处二千元以上一万元以下罚款；货值金额一千元以上的，并处货值金额三倍以上五倍以下罚款。征求意见稿还规定，网络化妆品交易平台提供者应当对进入平台的化妆品经营者进行实名登记和经营资格审查。网络化妆品交易平台提供者如违反该项规定，将由县级以上人民政府食品药品监督管理部门责令改正，没收违法所得，并处一万元以上五万元以下罚款；造成严重后果的，责令停业，直至由原发证部门吊销许可证。</w:t>
      </w:r>
    </w:p>
    <w:p>
      <w:pPr>
        <w:pStyle w:val="TextBody"/>
      </w:pPr>
      <w:hyperlink r:id="rId42">
        <w:r>
          <w:rPr>
            <w:rStyle w:val="Hyperlink"/>
          </w:rPr>
          <w:t xml:space="preserve">http://www.xinhuanet.com/legal/2018-03/13/c_1122531704.htm</w:t>
        </w:r>
      </w:hyperlink>
    </w:p>
    <w:p>
      <w:pPr>
        <w:pStyle w:val="Heading3"/>
      </w:pPr>
      <w:bookmarkStart w:id="43" w:name="内河船舶2018年7月起实施配员新标准"/>
      <w:r>
        <w:t xml:space="preserve">内河船舶2018年7月起实施配员新标准</w:t>
      </w:r>
      <w:bookmarkEnd w:id="43"/>
    </w:p>
    <w:p>
      <w:pPr>
        <w:pStyle w:val="FirstParagraph"/>
      </w:pPr>
      <w:r>
        <w:t xml:space="preserve">近日，新修订的《内河船舶最低安全配员标准》（以下简称新《标准》）已发布，将于2018年7月1日起实施，内河船舶最低安全配员证书格式随之更新至最新版本。据了解，此次修订以立足船舶安全生产为前提，兼顾航运企业利益、船员个人权益和海事管理机构有效监管，促进内河航运健康持续发展。</w:t>
      </w:r>
    </w:p>
    <w:p>
      <w:pPr>
        <w:pStyle w:val="TextBody"/>
      </w:pPr>
      <w:r>
        <w:t xml:space="preserve">据悉，新《标准》在原有配员标准的基础上作了深度、细致调整，体现出较强的问题导向性和区域针对性。为了适应目前内河船舶驾驶台操纵主动力设备的更新升级，新的配员标准不再依据原来轮机部自动化程度“机驾合一”和“非机驾合一”来区分。新《标准》附加了根据船舶连续航行作业时间，增加或减少配员的规定，解决船员因疲劳驾驶引发安全事故的难题。各省级地方海事局和直属海事局参照原《内河船舶最低安全配员一般标准》，可提出仅适用于在本辖区（或辖区某水域）航行的内河船舶最低安全配员标准。</w:t>
      </w:r>
    </w:p>
    <w:p>
      <w:pPr>
        <w:pStyle w:val="TextBody"/>
      </w:pPr>
      <w:hyperlink r:id="rId44">
        <w:r>
          <w:rPr>
            <w:rStyle w:val="Hyperlink"/>
          </w:rPr>
          <w:t xml:space="preserve">http://www.gov.cn/xinwen/2018-03/13/content_5273656.htm</w:t>
        </w:r>
      </w:hyperlink>
    </w:p>
    <w:p>
      <w:pPr>
        <w:pStyle w:val="Heading2"/>
      </w:pPr>
      <w:bookmarkStart w:id="45" w:name="并购"/>
      <w:r>
        <w:t xml:space="preserve">并购</w:t>
      </w:r>
      <w:bookmarkEnd w:id="45"/>
    </w:p>
    <w:p>
      <w:pPr>
        <w:pStyle w:val="Heading3"/>
      </w:pPr>
      <w:bookmarkStart w:id="46" w:name="君正集团拟收购中化物流60股权"/>
      <w:r>
        <w:t xml:space="preserve">君正集团拟收购中化物流60%股权</w:t>
      </w:r>
      <w:bookmarkEnd w:id="46"/>
    </w:p>
    <w:p>
      <w:pPr>
        <w:pStyle w:val="FirstParagraph"/>
      </w:pPr>
      <w:r>
        <w:t xml:space="preserve">2018年3月14日晚间，君正集团发布重大资产购买预案，全资孙公司鄂尔多斯君正拟以20.7亿元收购春光置地、华泰兴农合计持有的中化物流60%股权。</w:t>
      </w:r>
    </w:p>
    <w:p>
      <w:pPr>
        <w:pStyle w:val="TextBody"/>
      </w:pPr>
      <w:r>
        <w:t xml:space="preserve">据介绍，中化物流是一家全球领先的液体化工品及其他散装液体综合物流服务供应商。2017年前三季度，中化物流实现营业收入52.6亿元，净利润1.29亿元。君正集团表示，通过此次收购，公司将新增化工物流业务，在扩大资产规模的同时，将为公司迈向国际舞台打下坚实基础。未来双方的业务整合和发展，将有利于公司以全球视野开展化学品产业链的资源配置。鄂尔多斯君正此次拟以自有及自筹资金，收购春光置地、华泰兴农分别持有的中化物流40%、20%股权，交易价格分别初步确定为13.8亿元、6.9亿元。此次交易完成后，中化物流将成为君正集团旗下的全资子公司。</w:t>
      </w:r>
    </w:p>
    <w:p>
      <w:pPr>
        <w:pStyle w:val="TextBody"/>
      </w:pPr>
      <w:hyperlink r:id="rId47">
        <w:r>
          <w:rPr>
            <w:rStyle w:val="Hyperlink"/>
          </w:rPr>
          <w:t xml:space="preserve">http://company.stcn.com/2018/0315/14028491.shtml</w:t>
        </w:r>
      </w:hyperlink>
    </w:p>
    <w:p>
      <w:pPr>
        <w:pStyle w:val="Heading3"/>
      </w:pPr>
      <w:bookmarkStart w:id="48" w:name="恒逸石化42亿收购三公司加码聚酯纤维扩充产能"/>
      <w:r>
        <w:t xml:space="preserve">恒逸石化42亿收购三公司，加码聚酯纤维扩充产能</w:t>
      </w:r>
      <w:bookmarkEnd w:id="48"/>
    </w:p>
    <w:p>
      <w:pPr>
        <w:pStyle w:val="FirstParagraph"/>
      </w:pPr>
      <w:r>
        <w:t xml:space="preserve">2018年3月14日晚间，恒逸石化公告称，拟以发行股份方式购买公司控股股东恒逸集团所持嘉兴逸鹏化纤有限公司（以下简称“嘉兴逸鹏”）100%股权和太仓逸枫化纤有限公司（以下简称“太仓逸枫”）100%股权，购买富丽达集团和兴惠化纤合计所持浙江双兔新材料有限公司（以下简称“双兔新材料“）100%股权，同时拟定增募资不超过30亿元。</w:t>
      </w:r>
    </w:p>
    <w:p>
      <w:pPr>
        <w:pStyle w:val="TextBody"/>
      </w:pPr>
      <w:r>
        <w:t xml:space="preserve">此次恒逸石化定增募资30亿元，也将悉数用于产能拓展。公告显示，募集配套资金扣除中介费用及相关税费后，将用于由标的公司嘉兴逸鹏实施的“年产50万吨差别化功能性纤维提升改造项目”、“智能化升级改造项目”和“差别化纤维节能降耗提升改造项目”及标的公司太仓逸枫实施的“年产25万吨环保功能性纤维提升改造项目”和“智能化升级改造项目”。恒逸石化表示，公司目前为国内PTA及聚酯纤维行业龙头企业。本次交易后，上市公司将增加聚酯纤维产能144.5万吨 / 年，同时拟利用配套融资对标的公司现有聚酯纤维产能进行升级改造，将进一步扩大上市公司主营业务规模。</w:t>
      </w:r>
    </w:p>
    <w:p>
      <w:pPr>
        <w:pStyle w:val="TextBody"/>
      </w:pPr>
      <w:hyperlink r:id="rId49">
        <w:r>
          <w:rPr>
            <w:rStyle w:val="Hyperlink"/>
          </w:rPr>
          <w:t xml:space="preserve">http://company.stcn.com/2018/0315/14028484.shtml</w:t>
        </w:r>
      </w:hyperlink>
    </w:p>
    <w:p>
      <w:pPr>
        <w:pStyle w:val="Heading3"/>
      </w:pPr>
      <w:bookmarkStart w:id="50" w:name="上海梅林拟收购光明生猪41股权打造养猪企业综合服务平台"/>
      <w:r>
        <w:t xml:space="preserve">上海梅林拟收购光明生猪41%股权，打造养猪企业综合服务平台</w:t>
      </w:r>
      <w:bookmarkEnd w:id="50"/>
    </w:p>
    <w:p>
      <w:pPr>
        <w:pStyle w:val="FirstParagraph"/>
      </w:pPr>
      <w:r>
        <w:t xml:space="preserve">上海梅林于2018年3月14日晚间公告，公司拟向实控人光明食品集团、光明食品集团上海崇明农场有限公司、上海良友实业投资有限公司合计收购光明生猪有限公司41%股权。本次收购资金来自变更募集资金用途的募集资金以及部分自有资金。其中，募集资金1.94亿元，自有资金2954.22万元，合计2.23亿元。收购完成后，上海梅林合计持有光明生猪41%股权，成为光明生猪的控股股东。</w:t>
      </w:r>
    </w:p>
    <w:p>
      <w:pPr>
        <w:pStyle w:val="TextBody"/>
      </w:pPr>
      <w:r>
        <w:t xml:space="preserve">上海梅林表示，本次收购光明生猪股权并成为其控股股东是上海梅林依托光明食品集团共同发展生猪养殖业务模式的延续，是实现公司成为世界影响力的肉食制品控股集团战略目标的重要举措。收购完成后能进一步完善肉类产业链布局，提高养殖屠宰量匹配度，发挥产业协同效应，有利于优化上海梅林肉类产业链的发展布局、打造规模化养猪企业综合服务平台。经测算，在光明生猪目前规划的项目全部建成达产后，预计年可出栏生猪130万头，实现年度总销售收入18.85亿元，年度净利润1.52亿元，销售净利率为8.1%，归属于光明生猪股东的净利润为7586.09万元，预计项目的静态回收期为8.9年，项目的年均投资回报率为10.46%。</w:t>
      </w:r>
    </w:p>
    <w:p>
      <w:pPr>
        <w:pStyle w:val="TextBody"/>
      </w:pPr>
      <w:hyperlink r:id="rId51">
        <w:r>
          <w:rPr>
            <w:rStyle w:val="Hyperlink"/>
          </w:rPr>
          <w:t xml:space="preserve">http://company.stcn.com/2018/0314/14028168.shtml</w:t>
        </w:r>
      </w:hyperlink>
    </w:p>
    <w:p>
      <w:pPr>
        <w:pStyle w:val="Heading3"/>
      </w:pPr>
      <w:bookmarkStart w:id="52" w:name="加加食品有意48亿收购金枪鱼钓"/>
      <w:r>
        <w:t xml:space="preserve">加加食品有意48亿收购金枪鱼钓</w:t>
      </w:r>
      <w:bookmarkEnd w:id="52"/>
    </w:p>
    <w:p>
      <w:pPr>
        <w:pStyle w:val="FirstParagraph"/>
      </w:pPr>
      <w:r>
        <w:t xml:space="preserve">主营酱油等调味品的加加食品2018年3月12日午间公告称，其拟以发行股份及/或支付现金的方式购买金枪鱼钓100%的股权。披露显示，金枪鱼钓成立于2000年，从事金枪鱼的远洋捕捞和销售，是国内最大的专业从事金枪鱼超低温延绳钓的渔业公司，主要产品为超低温金枪鱼。</w:t>
      </w:r>
    </w:p>
    <w:p>
      <w:pPr>
        <w:pStyle w:val="TextBody"/>
      </w:pPr>
      <w:r>
        <w:t xml:space="preserve">目前，加加食品已与金枪鱼钓实际控制人励振羽签订《关于购买资产事项的意向书》，预计在不超过1个月的时间内披露重组方案。如若成功，加加食品将在以加加酱油为主的调味品行业之外，增加一条强劲的金枪鱼渔业赛道。金枪鱼钓给出了不俗的业绩承诺2018年、2019年和2020年合计净利润不低于12亿元。金枪鱼钓解释称，延绳钓方法被视作是一种比围网捕鱼法更为环保的捕鱼方法，可以最大限度地减少对渔业资源及其他海洋生物的影响，同时，延绳钓捕获的高端金枪鱼通常体型较大。金枪鱼钓是日本最大的中国高端金枪鱼供货商。</w:t>
      </w:r>
    </w:p>
    <w:p>
      <w:pPr>
        <w:pStyle w:val="TextBody"/>
      </w:pPr>
      <w:hyperlink r:id="rId53">
        <w:r>
          <w:rPr>
            <w:rStyle w:val="Hyperlink"/>
          </w:rPr>
          <w:t xml:space="preserve">http://company.stcn.com/2018/0313/14022284.shtml</w:t>
        </w:r>
      </w:hyperlink>
    </w:p>
    <w:p>
      <w:pPr>
        <w:pStyle w:val="Heading3"/>
      </w:pPr>
      <w:bookmarkStart w:id="54" w:name="比亚迪加码云轨业务收购新途轨道100股权"/>
      <w:r>
        <w:t xml:space="preserve">比亚迪加码云轨业务，收购新途轨道100%股权</w:t>
      </w:r>
      <w:bookmarkEnd w:id="54"/>
    </w:p>
    <w:p>
      <w:pPr>
        <w:pStyle w:val="FirstParagraph"/>
      </w:pPr>
      <w:r>
        <w:t xml:space="preserve">2018年3月12日晚间，新筑股份发布公告称，公司全资子公司成都市新途投资有限公司（以下简称“新途投资”）和自然人吕强拟向比亚迪汽车工业有限公司（以下简称“比亚迪汽车”） 转让持有的四川省新途轨道工程咨询设计有限公司（以下简称“新途轨道”） 100%股权，转让价款为2950万元。</w:t>
      </w:r>
    </w:p>
    <w:p>
      <w:pPr>
        <w:pStyle w:val="TextBody"/>
      </w:pPr>
      <w:r>
        <w:t xml:space="preserve">比亚迪汽车是比亚迪旗下控股子公司，注册资本4.53亿美元，主营汽车及汽车零部件的研发、生产及销售。此次比亚迪汽车从新筑股份购买的主要是其子公司所持有的新途轨道的90%的股权。新途轨道主营业务为工程项目管理、工程咨询、工程设计、工程监理、测绘服务、招投标代理、工程造价咨询。近年来，中国新能源汽车连续三年产销量全球第一。与此同时，比亚迪也连续三年坐在全球新能源汽车销量冠军的宝座。不过，面对越来越多竞争对手，以及新能源补贴等政策不断调整，比亚迪的压力不断加大，进入全面调整期。</w:t>
      </w:r>
    </w:p>
    <w:p>
      <w:pPr>
        <w:pStyle w:val="TextBody"/>
      </w:pPr>
      <w:hyperlink r:id="rId55">
        <w:r>
          <w:rPr>
            <w:rStyle w:val="Hyperlink"/>
          </w:rPr>
          <w:t xml:space="preserve">http://company.stcn.com/2018/0313/14022277.shtml</w:t>
        </w:r>
      </w:hyperlink>
    </w:p>
    <w:p>
      <w:pPr>
        <w:pStyle w:val="DisclaimerBold"/>
      </w:pPr>
      <w:r>
        <w:t>此法讯仅为提供相关资料信息之用，其内容并</w:t>
      </w:r>
    </w:p>
    <w:p>
      <w:pPr>
        <w:pStyle w:val="Disclaimer"/>
      </w:pPr>
      <w:r>
        <w:t>不构成法律建议及个案的法律分析。</w:t>
      </w:r>
    </w:p>
    <w:p>
      <w:pPr>
        <w:pStyle w:val="Disclaimer"/>
      </w:pPr>
      <w:r>
        <w:t>此法讯的发送并不是为了在易周律师行与用户或浏览者之间建立一种律师与客户之关系。</w:t>
      </w:r>
    </w:p>
    <w:p>
      <w:pPr>
        <w:pStyle w:val="Disclaimer"/>
      </w:pPr>
      <w:r>
        <w:t>易周律师行并不对可从互联网获得的任何第三方内容负责。</w:t>
      </w:r>
    </w:p>
    <w:p>
      <w:pPr>
        <w:pStyle w:val="Disclaimer"/>
      </w:pPr>
      <w:r>
        <w:t xml:space="preserve">如果您不希望收到该法讯，请电邮  </w:t>
      </w:r>
      <w:hyperlink r:id="rId10">
        <w:r>
          <w:rPr/>
          <w:t>unsubscribe@charltonslaw.com</w:t>
        </w:r>
      </w:hyperlink>
    </w:p>
    <w:p>
      <w:pPr>
        <w:pStyle w:val="BlackStrips"/>
      </w:pPr>
      <w:r>
        <w:t>Charltons - 法讯 - 中国 - 2018年3月17日</w:t>
      </w:r>
    </w:p>
    <w:sectPr>
      <w:type w:val="nextPage"/>
      <w:pgSz w:w="11906" w:h="16838"/>
      <w:pgMar w:left="864" w:right="864" w:header="0" w:top="864" w:footer="0" w:bottom="864" w:gutter="0"/>
      <w:pgNumType w:fmt="decimal"/>
      <w:formProt w:val="false"/>
      <w:textDirection w:val="lrTb"/>
      <w:docGrid w:type="default" w:linePitch="240" w:charSpace="429496115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Consolas">
    <w:charset w:val="01"/>
    <w:family w:val="roman"/>
    <w:pitch w:val="variable"/>
  </w:font>
  <w:font w:name="Liberation Sans">
    <w:altName w:val="Arial"/>
    <w:charset w:val="01"/>
    <w:family w:val="roman"/>
    <w:pitch w:val="variable"/>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f3e3100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Cs w:val="24"/>
        <w:lang w:val="en-US" w:eastAsia="en-US" w:bidi="ar-SA"/>
      </w:rPr>
    </w:rPrDefault>
    <w:pPrDefault>
      <w:pPr/>
    </w:pPrDefault>
  </w:docDefaults>
  <w:latentStyles w:defLockedState="0" w:defUIPriority="0" w:defSemiHidden="0" w:defUnhideWhenUsed="0" w:defQFormat="0" w:count="276"/>
  <w:style w:type="paragraph" w:styleId="Normal" w:default="1">
    <w:name w:val="Normal"/>
    <w:qFormat/>
    <w:pPr>
      <w:widowControl/>
      <w:bidi w:val="0"/>
      <w:spacing w:before="0" w:after="200"/>
      <w:jc w:val="left"/>
    </w:pPr>
    <w:rPr>
      <w:rFonts w:ascii="Cambria" w:hAnsi="Cambria" w:eastAsia="Cambria" w:cs="" w:asciiTheme="minorHAnsi" w:cstheme="minorBidi" w:eastAsiaTheme="minorHAnsi" w:hAnsiTheme="minorHAnsi"/>
      <w:color w:val="00000A"/>
      <w:sz w:val="24"/>
      <w:szCs w:val="24"/>
      <w:lang w:val="en-US" w:eastAsia="en-US" w:bidi="ar-SA"/>
    </w:rPr>
  </w:style>
  <w:style w:type="paragraph" w:styleId="Heading1">
    <w:name w:val="Heading 1"/>
    <w:basedOn w:val="Normal"/>
    <w:uiPriority w:val="9"/>
    <w:qFormat/>
    <w:pPr>
      <w:keepNext/>
      <w:keepLines/>
      <w:bidi w:val="0"/>
      <w:spacing w:before="480" w:after="0"/>
      <w:jc w:val="left"/>
      <w:outlineLvl w:val="0"/>
    </w:pPr>
    <w:rPr>
      <w:rFonts w:ascii="Calibri" w:hAnsi="Calibri" w:eastAsia="" w:cs="" w:asciiTheme="majorHAnsi" w:cstheme="majorBidi" w:eastAsiaTheme="majorEastAsia" w:hAnsiTheme="majorHAnsi"/>
      <w:b/>
      <w:bCs/>
      <w:color w:val="C0143C" w:themeShade="b5"/>
      <w:sz w:val="32"/>
      <w:szCs w:val="32"/>
    </w:rPr>
  </w:style>
  <w:style w:type="paragraph" w:styleId="Heading2">
    <w:name w:val="Heading 2"/>
    <w:basedOn w:val="Normal"/>
    <w:uiPriority w:val="9"/>
    <w:unhideWhenUsed/>
    <w:qFormat/>
    <w:pPr>
      <w:keepNext/>
      <w:keepLines/>
      <w:bidi w:val="0"/>
      <w:spacing w:before="200" w:after="0"/>
      <w:jc w:val="left"/>
      <w:outlineLvl w:val="1"/>
    </w:pPr>
    <w:rPr>
      <w:rFonts w:ascii="Calibri" w:hAnsi="Calibri" w:eastAsia="" w:cs="" w:asciiTheme="majorHAnsi" w:cstheme="majorBidi" w:eastAsiaTheme="majorEastAsia" w:hAnsiTheme="majorHAnsi"/>
      <w:b/>
      <w:bCs/>
      <w:color w:val="C0143C"/>
      <w:sz w:val="32"/>
      <w:szCs w:val="32"/>
    </w:rPr>
  </w:style>
  <w:style w:type="paragraph" w:styleId="Heading3">
    <w:name w:val="Heading 3"/>
    <w:basedOn w:val="Normal"/>
    <w:uiPriority w:val="9"/>
    <w:unhideWhenUsed/>
    <w:qFormat/>
    <w:pPr>
      <w:keepNext/>
      <w:keepLines/>
      <w:bidi w:val="0"/>
      <w:spacing w:before="200" w:after="0"/>
      <w:jc w:val="left"/>
      <w:outlineLvl w:val="2"/>
    </w:pPr>
    <w:rPr>
      <w:rFonts w:ascii="Calibri" w:hAnsi="Calibri" w:eastAsia="" w:cs="" w:asciiTheme="majorHAnsi" w:cstheme="majorBidi" w:eastAsiaTheme="majorEastAsia" w:hAnsiTheme="majorHAnsi"/>
      <w:b/>
      <w:bCs/>
      <w:color w:val="C0143C"/>
      <w:sz w:val="28"/>
      <w:szCs w:val="28"/>
    </w:rPr>
  </w:style>
  <w:style w:type="paragraph" w:styleId="Heading4">
    <w:name w:val="Heading 4"/>
    <w:basedOn w:val="Normal"/>
    <w:uiPriority w:val="9"/>
    <w:unhideWhenUsed/>
    <w:qFormat/>
    <w:pPr>
      <w:keepNext/>
      <w:keepLines/>
      <w:bidi w:val="0"/>
      <w:spacing w:before="200" w:after="0"/>
      <w:jc w:val="left"/>
      <w:outlineLvl w:val="3"/>
    </w:pPr>
    <w:rPr>
      <w:rFonts w:ascii="Calibri" w:hAnsi="Calibri" w:eastAsia="" w:cs="" w:asciiTheme="majorHAnsi" w:cstheme="majorBidi" w:eastAsiaTheme="majorEastAsia" w:hAnsiTheme="majorHAnsi"/>
      <w:b/>
      <w:bCs/>
      <w:color w:val="C0143C"/>
      <w:sz w:val="24"/>
      <w:szCs w:val="24"/>
    </w:rPr>
  </w:style>
  <w:style w:type="paragraph" w:styleId="Heading5">
    <w:name w:val="Heading 5"/>
    <w:basedOn w:val="Normal"/>
    <w:uiPriority w:val="9"/>
    <w:unhideWhenUsed/>
    <w:qFormat/>
    <w:pPr>
      <w:keepNext/>
      <w:keepLines/>
      <w:bidi w:val="0"/>
      <w:spacing w:before="200" w:after="0"/>
      <w:jc w:val="left"/>
      <w:outlineLvl w:val="4"/>
    </w:pPr>
    <w:rPr>
      <w:rFonts w:ascii="Calibri" w:hAnsi="Calibri" w:eastAsia="" w:cs="" w:asciiTheme="majorHAnsi" w:cstheme="majorBidi" w:eastAsiaTheme="majorEastAsia" w:hAnsiTheme="majorHAnsi"/>
      <w:i/>
      <w:iCs/>
      <w:color w:val="C0143C"/>
      <w:sz w:val="24"/>
      <w:szCs w:val="24"/>
    </w:rPr>
  </w:style>
  <w:style w:type="paragraph" w:styleId="Heading6">
    <w:name w:val="Heading 6"/>
    <w:basedOn w:val="Normal"/>
    <w:uiPriority w:val="9"/>
    <w:unhideWhenUsed/>
    <w:qFormat/>
    <w:pPr>
      <w:keepNext/>
      <w:keepLines/>
      <w:bidi w:val="0"/>
      <w:spacing w:before="200" w:after="0"/>
      <w:jc w:val="left"/>
      <w:outlineLvl w:val="5"/>
    </w:pPr>
    <w:rPr>
      <w:rFonts w:ascii="Calibri" w:hAnsi="Calibri" w:eastAsia="" w:cs="" w:asciiTheme="majorHAnsi" w:cstheme="majorBidi" w:eastAsiaTheme="majorEastAsia" w:hAnsiTheme="majorHAnsi"/>
      <w:color w:val="C0143C"/>
      <w:sz w:val="24"/>
      <w:szCs w:val="24"/>
    </w:rPr>
  </w:style>
  <w:style w:type="character" w:styleId="DefaultParagraphFont" w:default="1">
    <w:name w:val="Default Paragraph Font"/>
    <w:semiHidden/>
    <w:unhideWhenUsed/>
    <w:qFormat/>
    <w:rPr/>
  </w:style>
  <w:style w:type="character" w:styleId="BodyTextChar" w:customStyle="1">
    <w:name w:val="Body Text Char"/>
    <w:basedOn w:val="DefaultParagraphFont"/>
    <w:link w:val="BodyText"/>
    <w:qFormat/>
    <w:rPr/>
  </w:style>
  <w:style w:type="character" w:styleId="VerbatimChar" w:customStyle="1">
    <w:name w:val="Verbatim Char"/>
    <w:basedOn w:val="BodyTextChar"/>
    <w:qFormat/>
    <w:rPr>
      <w:rFonts w:ascii="Consolas" w:hAnsi="Consolas"/>
      <w:sz w:val="22"/>
    </w:rPr>
  </w:style>
  <w:style w:type="character" w:styleId="FootnoteAnchor">
    <w:name w:val="Footnote Anchor"/>
    <w:basedOn w:val="BodyTextChar"/>
    <w:rPr>
      <w:vertAlign w:val="superscript"/>
    </w:rPr>
  </w:style>
  <w:style w:type="character" w:styleId="InternetLink">
    <w:name w:val="Internet Link"/>
    <w:basedOn w:val="BodyTextChar"/>
    <w:rPr>
      <w:color w:val="C0143C"/>
    </w:rPr>
  </w:style>
  <w:style w:type="paragraph" w:styleId="Heading">
    <w:name w:val="Heading"/>
    <w:basedOn w:val="Normal"/>
    <w:next w:val="TextBody"/>
    <w:qFormat/>
    <w:pPr>
      <w:keepNext/>
      <w:spacing w:before="240" w:after="120"/>
    </w:pPr>
    <w:rPr>
      <w:rFonts w:ascii="Liberation Sans" w:hAnsi="Liberation Sans" w:eastAsia="Microsoft YaHei" w:cs="Arial Unicode MS"/>
      <w:sz w:val="28"/>
      <w:szCs w:val="28"/>
    </w:rPr>
  </w:style>
  <w:style w:type="paragraph" w:styleId="TextBody">
    <w:name w:val="Body Text"/>
    <w:basedOn w:val="Normal"/>
    <w:link w:val="BodyTextChar"/>
    <w:qFormat/>
    <w:pPr>
      <w:bidi w:val="0"/>
      <w:spacing w:before="180" w:after="180"/>
      <w:jc w:val="both"/>
    </w:pPr>
    <w:rPr/>
  </w:style>
  <w:style w:type="paragraph" w:styleId="List">
    <w:name w:val="List"/>
    <w:basedOn w:val="TextBody"/>
    <w:pPr/>
    <w:rPr>
      <w:rFonts w:cs="Arial Unicode MS"/>
    </w:rPr>
  </w:style>
  <w:style w:type="paragraph" w:styleId="Caption">
    <w:name w:val="Caption"/>
    <w:basedOn w:val="Normal"/>
    <w:link w:val="BodyTextChar"/>
    <w:qFormat/>
    <w:pPr>
      <w:spacing w:before="0" w:after="120"/>
    </w:pPr>
    <w:rPr>
      <w:i/>
    </w:rPr>
  </w:style>
  <w:style w:type="paragraph" w:styleId="Index">
    <w:name w:val="Index"/>
    <w:basedOn w:val="Normal"/>
    <w:qFormat/>
    <w:pPr>
      <w:suppressLineNumbers/>
    </w:pPr>
    <w:rPr>
      <w:rFonts w:cs="Arial Unicode MS"/>
    </w:rPr>
  </w:style>
  <w:style w:type="paragraph" w:styleId="FirstParagraph" w:customStyle="1">
    <w:name w:val="First Paragraph"/>
    <w:basedOn w:val="TextBody"/>
    <w:qFormat/>
    <w:pPr/>
    <w:rPr/>
  </w:style>
  <w:style w:type="paragraph" w:styleId="Compact" w:customStyle="1">
    <w:name w:val="Compact"/>
    <w:basedOn w:val="TextBody"/>
    <w:qFormat/>
    <w:pPr>
      <w:spacing w:before="36" w:after="36"/>
    </w:pPr>
    <w:rPr/>
  </w:style>
  <w:style w:type="paragraph" w:styleId="Title">
    <w:name w:val="Title"/>
    <w:basedOn w:val="Normal"/>
    <w:qFormat/>
    <w:pPr>
      <w:keepNext/>
      <w:keepLines/>
      <w:bidi w:val="0"/>
      <w:spacing w:before="480" w:after="240"/>
      <w:jc w:val="left"/>
    </w:pPr>
    <w:rPr>
      <w:rFonts w:ascii="Calibri" w:hAnsi="Calibri" w:eastAsia="" w:cs="" w:asciiTheme="majorHAnsi" w:cstheme="majorBidi" w:eastAsiaTheme="majorEastAsia" w:hAnsiTheme="majorHAnsi"/>
      <w:b/>
      <w:bCs/>
      <w:color w:val="C0143C" w:themeShade="b5"/>
      <w:sz w:val="36"/>
      <w:szCs w:val="36"/>
    </w:rPr>
  </w:style>
  <w:style w:type="paragraph" w:styleId="Subtitle">
    <w:name w:val="Subtitle"/>
    <w:basedOn w:val="Title"/>
    <w:qFormat/>
    <w:pPr>
      <w:keepNext/>
      <w:keepLines/>
      <w:spacing w:before="240" w:after="240"/>
      <w:jc w:val="center"/>
    </w:pPr>
    <w:rPr>
      <w:sz w:val="30"/>
      <w:szCs w:val="30"/>
    </w:rPr>
  </w:style>
  <w:style w:type="paragraph" w:styleId="Author" w:customStyle="1">
    <w:name w:val="Author"/>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Date">
    <w:name w:val="Date"/>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Abstract" w:customStyle="1">
    <w:name w:val="Abstract"/>
    <w:basedOn w:val="Normal"/>
    <w:qFormat/>
    <w:pPr>
      <w:keepNext/>
      <w:keepLines/>
      <w:spacing w:before="300" w:after="300"/>
    </w:pPr>
    <w:rPr>
      <w:sz w:val="20"/>
      <w:szCs w:val="20"/>
    </w:rPr>
  </w:style>
  <w:style w:type="paragraph" w:styleId="Bibliography">
    <w:name w:val="Bibliography"/>
    <w:basedOn w:val="Normal"/>
    <w:qFormat/>
    <w:pPr/>
    <w:rPr/>
  </w:style>
  <w:style w:type="paragraph" w:styleId="BlockText">
    <w:name w:val="Block Text"/>
    <w:basedOn w:val="TextBody"/>
    <w:uiPriority w:val="9"/>
    <w:unhideWhenUsed/>
    <w:qFormat/>
    <w:pPr>
      <w:spacing w:before="100" w:after="100"/>
      <w:ind w:hanging="0"/>
    </w:pPr>
    <w:rPr>
      <w:rFonts w:ascii="Calibri" w:hAnsi="Calibri" w:eastAsia="" w:cs="" w:asciiTheme="majorHAnsi" w:cstheme="majorBidi" w:eastAsiaTheme="majorEastAsia" w:hAnsiTheme="majorHAnsi"/>
      <w:bCs/>
      <w:sz w:val="20"/>
      <w:szCs w:val="20"/>
    </w:rPr>
  </w:style>
  <w:style w:type="paragraph" w:styleId="Footnote">
    <w:name w:val="Footnote Text"/>
    <w:basedOn w:val="Normal"/>
    <w:uiPriority w:val="9"/>
    <w:unhideWhenUsed/>
    <w:qFormat/>
    <w:pPr/>
    <w:rPr/>
  </w:style>
  <w:style w:type="paragraph" w:styleId="DefinitionTerm" w:customStyle="1">
    <w:name w:val="Definition Term"/>
    <w:basedOn w:val="Normal"/>
    <w:qFormat/>
    <w:pPr>
      <w:keepNext/>
      <w:keepLines/>
      <w:spacing w:before="0" w:after="0"/>
    </w:pPr>
    <w:rPr>
      <w:b/>
    </w:rPr>
  </w:style>
  <w:style w:type="paragraph" w:styleId="Definition" w:customStyle="1">
    <w:name w:val="Definition"/>
    <w:basedOn w:val="Normal"/>
    <w:qFormat/>
    <w:pPr/>
    <w:rPr/>
  </w:style>
  <w:style w:type="paragraph" w:styleId="TableCaption" w:customStyle="1">
    <w:name w:val="Table Caption"/>
    <w:basedOn w:val="Caption"/>
    <w:qFormat/>
    <w:pPr>
      <w:keepNext/>
    </w:pPr>
    <w:rPr/>
  </w:style>
  <w:style w:type="paragraph" w:styleId="ImageCaption" w:customStyle="1">
    <w:name w:val="Image Caption"/>
    <w:basedOn w:val="Caption"/>
    <w:qFormat/>
    <w:pPr/>
    <w:rPr/>
  </w:style>
  <w:style w:type="paragraph" w:styleId="Figure" w:customStyle="1">
    <w:name w:val="Figure"/>
    <w:basedOn w:val="Normal"/>
    <w:qFormat/>
    <w:pPr/>
    <w:rPr/>
  </w:style>
  <w:style w:type="paragraph" w:styleId="FigurewithCaption" w:customStyle="1">
    <w:name w:val="Figure with Caption"/>
    <w:basedOn w:val="Figure"/>
    <w:qFormat/>
    <w:pPr>
      <w:keepNext/>
    </w:pPr>
    <w:rPr/>
  </w:style>
  <w:style w:type="paragraph" w:styleId="TOCHeading">
    <w:name w:val="TOC Heading"/>
    <w:basedOn w:val="Heading1"/>
    <w:uiPriority w:val="39"/>
    <w:unhideWhenUsed/>
    <w:qFormat/>
    <w:pPr>
      <w:bidi w:val="0"/>
      <w:spacing w:lineRule="auto" w:line="259" w:before="240" w:after="0"/>
      <w:jc w:val="left"/>
    </w:pPr>
    <w:rPr>
      <w:rFonts w:ascii="Calibri" w:hAnsi="Calibri" w:eastAsia="" w:cs="" w:asciiTheme="majorHAnsi" w:cstheme="majorBidi" w:eastAsiaTheme="majorEastAsia" w:hAnsiTheme="majorHAnsi"/>
      <w:b w:val="false"/>
      <w:bCs w:val="false"/>
      <w:color w:val="C0143C" w:themeShade="bf"/>
    </w:rPr>
  </w:style>
  <w:style w:type="paragraph" w:styleId="Disclaimer">
    <w:name w:val="Disclaimer"/>
    <w:basedOn w:val="Normal"/>
    <w:qFormat/>
    <w:pPr>
      <w:pBdr>
        <w:top w:val="single" w:sz="2" w:space="1" w:color="000001"/>
        <w:left w:val="single" w:sz="2" w:space="1" w:color="000001"/>
        <w:bottom w:val="single" w:sz="2" w:space="1" w:color="000001"/>
        <w:right w:val="single" w:sz="2" w:space="1" w:color="000001"/>
      </w:pBdr>
      <w:shd w:val="clear" w:fill="DDDDDD"/>
      <w:bidi w:val="0"/>
      <w:spacing w:before="101" w:after="101"/>
      <w:jc w:val="both"/>
    </w:pPr>
    <w:rPr/>
  </w:style>
  <w:style w:type="paragraph" w:styleId="BlackStrips">
    <w:name w:val="Black Strips"/>
    <w:basedOn w:val="Normal"/>
    <w:qFormat/>
    <w:pPr>
      <w:shd w:val="clear" w:fill="000000"/>
      <w:bidi w:val="0"/>
      <w:jc w:val="center"/>
    </w:pPr>
    <w:rPr>
      <w:color w:val="FFFFFF"/>
    </w:rPr>
  </w:style>
  <w:style w:type="paragraph" w:styleId="DisclaimerBold">
    <w:name w:val="Disclaimer Bold"/>
    <w:basedOn w:val="Disclaimer"/>
    <w:qFormat/>
    <w:pPr>
      <w:shd w:val="clear" w:fill="DDDDDD"/>
      <w:bidi w:val="0"/>
      <w:jc w:val="left"/>
    </w:pPr>
    <w:rPr>
      <w:b/>
    </w:rPr>
  </w:style>
  <w:style w:type="paragraph" w:styleId="ReadOnline">
    <w:name w:val="Read Online"/>
    <w:basedOn w:val="Normal"/>
    <w:qFormat/>
    <w:pPr>
      <w:bidi w:val="0"/>
      <w:jc w:val="center"/>
    </w:pPr>
    <w:rPr>
      <w:sz w:val="28"/>
      <w:u w:val="single"/>
    </w:rPr>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openxmlformats.org/officeDocument/2006/relationships/footnotes" Target="footnotes.xml"/><Relationship Id="rId8" Type="http://schemas.openxmlformats.org/officeDocument/2006/relationships/comments" Target="comments.xml"/><Relationship Id="rId55" Type="http://schemas.openxmlformats.org/officeDocument/2006/relationships/hyperlink" Target="http://company.stcn.com/2018/0313/14022277.shtml" TargetMode="External"/><Relationship Id="rId53" Type="http://schemas.openxmlformats.org/officeDocument/2006/relationships/hyperlink" Target="http://company.stcn.com/2018/0313/14022284.shtml" TargetMode="External"/><Relationship Id="rId51" Type="http://schemas.openxmlformats.org/officeDocument/2006/relationships/hyperlink" Target="http://company.stcn.com/2018/0314/14028168.shtml" TargetMode="External"/><Relationship Id="rId49" Type="http://schemas.openxmlformats.org/officeDocument/2006/relationships/hyperlink" Target="http://company.stcn.com/2018/0315/14028484.shtml" TargetMode="External"/><Relationship Id="rId47" Type="http://schemas.openxmlformats.org/officeDocument/2006/relationships/hyperlink" Target="http://company.stcn.com/2018/0315/14028491.shtml" TargetMode="External"/><Relationship Id="rId32" Type="http://schemas.openxmlformats.org/officeDocument/2006/relationships/hyperlink" Target="http://news.cctv.com/2018/03/08/ARTI8tPjh6fjSm0BZKe9yIvO180308.shtml" TargetMode="External"/><Relationship Id="rId38" Type="http://schemas.openxmlformats.org/officeDocument/2006/relationships/hyperlink" Target="http://news.ifeng.com/a/20180312/56665373_0.shtml" TargetMode="External"/><Relationship Id="rId29" Type="http://schemas.openxmlformats.org/officeDocument/2006/relationships/hyperlink" Target="http://www.cfen.com.cn/cjxw/jr/201803/t20180314_2838080.html" TargetMode="External"/><Relationship Id="rId40" Type="http://schemas.openxmlformats.org/officeDocument/2006/relationships/hyperlink" Target="http://www.gov.cn/xinwen/2018-03/07/content_5271687.htm" TargetMode="External"/><Relationship Id="rId23" Type="http://schemas.openxmlformats.org/officeDocument/2006/relationships/hyperlink" Target="http://www.gov.cn/xinwen/2018-03/10/content_5272889.htm" TargetMode="External"/><Relationship Id="rId44" Type="http://schemas.openxmlformats.org/officeDocument/2006/relationships/hyperlink" Target="http://www.gov.cn/xinwen/2018-03/13/content_5273656.htm" TargetMode="External"/><Relationship Id="rId25" Type="http://schemas.openxmlformats.org/officeDocument/2006/relationships/hyperlink" Target="http://www.szse.cn/main/aboutus/bsyw/39778261.shtml" TargetMode="External"/><Relationship Id="rId27" Type="http://schemas.openxmlformats.org/officeDocument/2006/relationships/hyperlink" Target="http://www.xinhuanet.com/fortune/2018-03/12/c_1122526843.htm" TargetMode="External"/><Relationship Id="rId42" Type="http://schemas.openxmlformats.org/officeDocument/2006/relationships/hyperlink" Target="http://www.xinhuanet.com/legal/2018-03/13/c_1122531704.htm" TargetMode="External"/><Relationship Id="rId35" Type="http://schemas.openxmlformats.org/officeDocument/2006/relationships/hyperlink" Target="http://www.xinhuanet.com/world/2018-03/09/c_1122509186.htm" TargetMode="External"/><Relationship Id="rId9" Type="http://schemas.openxmlformats.org/officeDocument/2006/relationships/hyperlink" Target="http://www.charltonslaw.com.cn/zhong-guo-zheng-jian-hui-jiu-wai-shang-tou-zi-zheng-quan-gong-si-guan-li-ban-fa-gong-kai-zheng-qiu-yi-jian" TargetMode="External"/><Relationship Id="rId10" Type="http://schemas.openxmlformats.org/officeDocument/2006/relationships/hyperlink" Target="mailto:unsubscribe@charltonslaw.com?subject=unsubscribe -Hong Kong Law-" TargetMode="External"/></Relationships>
</file>

<file path=word/_rels/footnotes.xml.rels><?xml version='1.0' encoding='UTF-8' standalone='yes'?>
<Relationships xmlns="http://schemas.openxmlformats.org/package/2006/relationships"><Relationship Id="rId55" Type="http://schemas.openxmlformats.org/officeDocument/2006/relationships/hyperlink" Target="http://company.stcn.com/2018/0313/14022277.shtml" TargetMode="External"/><Relationship Id="rId53" Type="http://schemas.openxmlformats.org/officeDocument/2006/relationships/hyperlink" Target="http://company.stcn.com/2018/0313/14022284.shtml" TargetMode="External"/><Relationship Id="rId51" Type="http://schemas.openxmlformats.org/officeDocument/2006/relationships/hyperlink" Target="http://company.stcn.com/2018/0314/14028168.shtml" TargetMode="External"/><Relationship Id="rId49" Type="http://schemas.openxmlformats.org/officeDocument/2006/relationships/hyperlink" Target="http://company.stcn.com/2018/0315/14028484.shtml" TargetMode="External"/><Relationship Id="rId47" Type="http://schemas.openxmlformats.org/officeDocument/2006/relationships/hyperlink" Target="http://company.stcn.com/2018/0315/14028491.shtml" TargetMode="External"/><Relationship Id="rId32" Type="http://schemas.openxmlformats.org/officeDocument/2006/relationships/hyperlink" Target="http://news.cctv.com/2018/03/08/ARTI8tPjh6fjSm0BZKe9yIvO180308.shtml" TargetMode="External"/><Relationship Id="rId38" Type="http://schemas.openxmlformats.org/officeDocument/2006/relationships/hyperlink" Target="http://news.ifeng.com/a/20180312/56665373_0.shtml" TargetMode="External"/><Relationship Id="rId29" Type="http://schemas.openxmlformats.org/officeDocument/2006/relationships/hyperlink" Target="http://www.cfen.com.cn/cjxw/jr/201803/t20180314_2838080.html" TargetMode="External"/><Relationship Id="rId40" Type="http://schemas.openxmlformats.org/officeDocument/2006/relationships/hyperlink" Target="http://www.gov.cn/xinwen/2018-03/07/content_5271687.htm" TargetMode="External"/><Relationship Id="rId23" Type="http://schemas.openxmlformats.org/officeDocument/2006/relationships/hyperlink" Target="http://www.gov.cn/xinwen/2018-03/10/content_5272889.htm" TargetMode="External"/><Relationship Id="rId44" Type="http://schemas.openxmlformats.org/officeDocument/2006/relationships/hyperlink" Target="http://www.gov.cn/xinwen/2018-03/13/content_5273656.htm" TargetMode="External"/><Relationship Id="rId25" Type="http://schemas.openxmlformats.org/officeDocument/2006/relationships/hyperlink" Target="http://www.szse.cn/main/aboutus/bsyw/39778261.shtml" TargetMode="External"/><Relationship Id="rId27" Type="http://schemas.openxmlformats.org/officeDocument/2006/relationships/hyperlink" Target="http://www.xinhuanet.com/fortune/2018-03/12/c_1122526843.htm" TargetMode="External"/><Relationship Id="rId42" Type="http://schemas.openxmlformats.org/officeDocument/2006/relationships/hyperlink" Target="http://www.xinhuanet.com/legal/2018-03/13/c_1122531704.htm" TargetMode="External"/><Relationship Id="rId35" Type="http://schemas.openxmlformats.org/officeDocument/2006/relationships/hyperlink" Target="http://www.xinhuanet.com/world/2018-03/09/c_1122509186.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Application>LibreOffice/5.3.2.2$MacOSX_X86_64 LibreOffice_project/6cd4f1ef626f15116896b1d8e1398b56da0d0ee1</Application>
  <Pages>1</Pages>
  <Words>2</Words>
  <Characters>11</Characters>
  <CharactersWithSpaces>12</CharactersWithSpaces>
  <Paragraphs>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2018-03-16T03:24:50Z</dcterms:created>
  <dcterms:modified xsi:type="dcterms:W3CDTF">2018-03-16T03:24:50Z</dcterms:modified>
</cp:coreProperties>
</file>