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- 2018年4月20日</w:t>
      </w:r>
    </w:p>
    <w:p>
      <w:pPr>
        <w:pStyle w:val="ReadOnline"/>
      </w:pPr>
      <w:hyperlink r:id="rId9">
        <w:r>
          <w:rPr/>
          <w:t>online version</w:t>
        </w:r>
      </w:hyperlink>
    </w:p>
    <w:p>
      <w:pPr>
        <w:pStyle w:val="Title"/>
      </w:pPr>
      <w:r>
        <w:t>中央网信办和中国证监会联合发布《关于推动资本市场服务网络强国建设的指导意见》</w:t>
      </w:r>
    </w:p>
    <w:p>
      <w:pPr>
        <w:pStyle w:val="Heading2"/>
      </w:pPr>
      <w:bookmarkStart w:id="21" w:name="资本市场"/>
      <w:r>
        <w:t xml:space="preserve">资本市场</w:t>
      </w:r>
      <w:bookmarkEnd w:id="21"/>
    </w:p>
    <w:p>
      <w:pPr>
        <w:pStyle w:val="Heading3"/>
      </w:pPr>
      <w:bookmarkStart w:id="22" w:name="中央网信办和中国证监会联合发布关于推动资本市场服务网络强国建设的指导意见"/>
      <w:r>
        <w:t xml:space="preserve">中央网信办和中国证监会联合发布《关于推动资本市场服务网络强国建设的指导意见》</w:t>
      </w:r>
      <w:bookmarkEnd w:id="22"/>
    </w:p>
    <w:p>
      <w:pPr>
        <w:pStyle w:val="FirstParagraph"/>
      </w:pPr>
      <w:r>
        <w:t xml:space="preserve">为充分发挥资本市场在资源配置中的重要作用，规范和促进网信企业创新发展，推进网络强国、数字中国建设，近日，中央网信办和中国证监会联合印发《关于推动资本市场服务网络强国建设的指导意见》（以下简称《意见》）。</w:t>
      </w:r>
    </w:p>
    <w:p>
      <w:pPr>
        <w:pStyle w:val="TextBody"/>
      </w:pPr>
      <w:r>
        <w:t xml:space="preserve">《意见》提出要充分发挥资本市场作用，推动网信企业加快发展。支持符合条件的网信企业利用主板、中小板、创业板、新三板、区域股权市场、债券市场等多层次资本市场做大做强。鼓励网信企业通过并购重组，完善产业链条，引进吸收国外先进技术，参与全球资源整合，提升技术创新和市场竞争能力。营造有利于各类投资主体参与的市场环境，为不同发展阶段的网信企业提供资本支持。充分发挥保荐机构、财务顾问、律师事务所、会计师事务所等机构的积极作用。制定出台《意见》，从发展网信事业方面，有助于进一步发挥资本市场支持网络强国建设积极作用，有助于网信企业利用多层次资本市场做大做强。从资本市场发展和监管方面，有助于提高网信企业规范运作和公司治理水平，有助于提高信息披露质量，保护投资者合法权益。</w:t>
      </w:r>
    </w:p>
    <w:p>
      <w:pPr>
        <w:pStyle w:val="TextBody"/>
      </w:pPr>
      <w:hyperlink r:id="rId23">
        <w:r>
          <w:rPr>
            <w:rStyle w:val="Hyperlink"/>
          </w:rPr>
          <w:t xml:space="preserve">http://www.csrc.gov.cn/pub/newsite/zjhxwfb/xwdd/201804/t20180413_336624.html</w:t>
        </w:r>
      </w:hyperlink>
    </w:p>
    <w:p>
      <w:pPr>
        <w:pStyle w:val="Heading3"/>
      </w:pPr>
      <w:bookmarkStart w:id="24" w:name="中国人民银行发文规范券商短期融资券管理"/>
      <w:r>
        <w:t xml:space="preserve">中国人民银行发文规范券商短期融资券管理</w:t>
      </w:r>
      <w:bookmarkEnd w:id="24"/>
    </w:p>
    <w:p>
      <w:pPr>
        <w:pStyle w:val="FirstParagraph"/>
      </w:pPr>
      <w:r>
        <w:t xml:space="preserve">近日，中国人民银行金融市场司发布《关于证券公司短期融资券管理有关事项的通知》。文件要求证券公司发行短期融资券实行余额管理，待偿还短期融资券余额上限按照短期融资券与证券公司其他短期融资工具余额之和不超过净资本的60%计算。</w:t>
      </w:r>
    </w:p>
    <w:p>
      <w:pPr>
        <w:pStyle w:val="TextBody"/>
      </w:pPr>
      <w:r>
        <w:t xml:space="preserve">文件称，央行对已发行短期融资券的证券公司进行持续事中事后监测管理，根据证券公司净资本、风险控制指标和各类短期融资工具余额等情况，并结合证券公司资产管理业务、回购业务等可能影响证券公司流动性管理水平的业务情况，每半年调整一次证券公司短期融资券余额。文件要求，券商发行短期融资券应具有较高的流动性管理能力，保持流动性合理充裕，确保能够以合理对成本及时满足流动性需求；流动性覆盖率持续高于行业平均水平；资产管理业务开展规范，符合强化法人风险隔离、规范资金池、打破刚性兑付等资产管理业务监管要求。</w:t>
      </w:r>
    </w:p>
    <w:p>
      <w:pPr>
        <w:pStyle w:val="TextBody"/>
      </w:pPr>
      <w:hyperlink r:id="rId25">
        <w:r>
          <w:rPr>
            <w:rStyle w:val="Hyperlink"/>
          </w:rPr>
          <w:t xml:space="preserve">http://www.xinhuanet.com/fortune/2018-04/14/c_1122680662.htm</w:t>
        </w:r>
      </w:hyperlink>
    </w:p>
    <w:p>
      <w:pPr>
        <w:pStyle w:val="Heading3"/>
      </w:pPr>
      <w:bookmarkStart w:id="26" w:name="国家发改委等六部门印发意见引导对外投融资基金健康发展"/>
      <w:r>
        <w:t xml:space="preserve">国家发改委等六部门印发意见，引导对外投融资基金健康发展</w:t>
      </w:r>
      <w:bookmarkEnd w:id="26"/>
    </w:p>
    <w:p>
      <w:pPr>
        <w:pStyle w:val="FirstParagraph"/>
      </w:pPr>
      <w:r>
        <w:t xml:space="preserve">针对近年中国部分对外投融资基金也出现的资金来源不落实、经营管理不规范、业务方向不清晰等问题，国家发改委等六部委今日联合印发的《关于引导对外投融资基金健康发展的意见》（以下简称《意见》），从优化募资方式、提升运行效率、完善监管体系、强化服务保障等方面引导对外投融资基金健康发展，推动形成全面开放新格局，加快培育国际经济合作和竞争新优势。</w:t>
      </w:r>
    </w:p>
    <w:p>
      <w:pPr>
        <w:pStyle w:val="TextBody"/>
      </w:pPr>
      <w:r>
        <w:t xml:space="preserve">《意见》支持国内各类机构参与出资，支持主权财富基金依法合规出资参与对外投融资基金；商业性金融机构应按照市场化原则，在履行相关程序后，依法合规出资参与对外投融资基金；开发性政策性金融机构可根据职能定位和业务范围，在履行相关程序后，依法合规出资参与对外投融资基金；各类金融机构不得以信贷资金等方式违规出资参与对外投融资基金。在加强与国际金融组织合作方面，《意见》表示，将拓展对外投融资基金与国际金融组织的对接与合作，探讨世界银行、亚洲基础设施投资银行、金砖国家新开发银行、亚洲开发银行、泛美开发银行和非洲开发银行等出资参与我对外投融资基金，共同推进“一带一路”建设，促进国际产能合作。</w:t>
      </w:r>
    </w:p>
    <w:p>
      <w:pPr>
        <w:pStyle w:val="TextBody"/>
      </w:pPr>
      <w:hyperlink r:id="rId27">
        <w:r>
          <w:rPr>
            <w:rStyle w:val="Hyperlink"/>
          </w:rPr>
          <w:t xml:space="preserve">http://www.sohu.com/a/227927215_118392</w:t>
        </w:r>
      </w:hyperlink>
    </w:p>
    <w:p>
      <w:pPr>
        <w:pStyle w:val="Heading3"/>
      </w:pPr>
      <w:bookmarkStart w:id="28" w:name="深圳证券交易所强化一线监管积极推进创新企业境内上市"/>
      <w:r>
        <w:t xml:space="preserve">深圳证券交易所：强化一线监管，积极推进创新企业境内上市</w:t>
      </w:r>
      <w:bookmarkEnd w:id="28"/>
    </w:p>
    <w:p>
      <w:pPr>
        <w:pStyle w:val="FirstParagraph"/>
      </w:pPr>
      <w:r>
        <w:t xml:space="preserve">深圳证券交易所2018年度会员大会正以非现场形式召开，其中审议《深圳证券交易所章程（2018年修订草案）》是本次会员大会的重要议程之一。章程是证券交易所组织运行的基础性、纲领性文件，对推动交易所在新的历史起点切实发挥一线监管职能，扎实推进资本市场改革稳定发展各项工作具有重要意义。</w:t>
      </w:r>
    </w:p>
    <w:p>
      <w:pPr>
        <w:pStyle w:val="TextBody"/>
      </w:pPr>
      <w:r>
        <w:t xml:space="preserve">《章程》修订内容包括强化交易所一线监管职能。本次《章程》的修订紧紧围绕落实金融工作三大任务，切实履行一线监管职责，着力落实《管理办法》相关规定，补齐制度短板；优化交易所治理结构。进一步完善理事会、总经理和监事会的职权；修改理事长、副理事长和监事长提名相关规定；明确理事会、监事会决议向中国证监会报告的制度；完善相关程序规定。新增相关市场主体可以申请听证和复核的规定，充分保护市场主体合法权益；完善会员大会表决方式，为建立会员大会常态化召开机制创造条件。</w:t>
      </w:r>
    </w:p>
    <w:p>
      <w:pPr>
        <w:pStyle w:val="TextBody"/>
      </w:pPr>
      <w:hyperlink r:id="rId29">
        <w:r>
          <w:rPr>
            <w:rStyle w:val="Hyperlink"/>
          </w:rPr>
          <w:t xml:space="preserve">http://www.stcn.com/2018/0419/14129426.shtml</w:t>
        </w:r>
      </w:hyperlink>
    </w:p>
    <w:p>
      <w:pPr>
        <w:pStyle w:val="Heading2"/>
      </w:pPr>
      <w:bookmarkStart w:id="30" w:name="保险"/>
      <w:r>
        <w:t xml:space="preserve">保险</w:t>
      </w:r>
      <w:bookmarkEnd w:id="30"/>
    </w:p>
    <w:p>
      <w:pPr>
        <w:pStyle w:val="Heading3"/>
      </w:pPr>
      <w:bookmarkStart w:id="31" w:name="中国银行保险监督管理委员会等三部门联合发布通知要求做好首台套重大装备保险补偿试点"/>
      <w:r>
        <w:t xml:space="preserve">中国银行保险监督管理委员会等三部门联合发布通知：要求做好首台（套）重大装备保险补偿试点</w:t>
      </w:r>
      <w:bookmarkEnd w:id="31"/>
    </w:p>
    <w:p>
      <w:pPr>
        <w:pStyle w:val="FirstParagraph"/>
      </w:pPr>
      <w:r>
        <w:t xml:space="preserve">近日，财政部、工业和信息化部、中国银行保险监督管理委员会日前联合发布通知，要求深入做好首台（套）重大技术装备保险补偿机制试点工作。</w:t>
      </w:r>
    </w:p>
    <w:p>
      <w:pPr>
        <w:pStyle w:val="TextBody"/>
      </w:pPr>
      <w:r>
        <w:t xml:space="preserve">根据通知，自2018年起，由省级工业和信息化主管部门负责本地区制造企业（含央企）保费补贴资金申请受理工作。制造《首台（套）重大技术装备推广应用指导目录》内装备，且投保首台（套）重大技术装备综合险或选择国际通行保险条款投保的企业，在装备交付用户、保单正式生效、累计保费满20万元后集中申请补贴，同类装备产品集中申报。续保项目应保持连续投保，如不连续则按新投保审核。制造企业、保险机构和装备用户应严格遵守国家相关法律法规，加强业务管控，确保申请材料真实、准确。通知明确，2017年3月16日至2017年12月31日期间投保的项目，应于2018年4月20日前提交保费补贴资金申请材料。自2018年起，每年1月1日至12月31日期间投保的项目，应于下一年3月10日前提交保费补贴资金申请材料。</w:t>
      </w:r>
    </w:p>
    <w:p>
      <w:pPr>
        <w:pStyle w:val="TextBody"/>
      </w:pPr>
      <w:hyperlink r:id="rId32">
        <w:r>
          <w:rPr>
            <w:rStyle w:val="Hyperlink"/>
          </w:rPr>
          <w:t xml:space="preserve">http://news.sina.com.cn/c/2018-04-12/doc-ifyuwqez9510437.shtml</w:t>
        </w:r>
      </w:hyperlink>
    </w:p>
    <w:p>
      <w:pPr>
        <w:pStyle w:val="Heading2"/>
      </w:pPr>
      <w:bookmarkStart w:id="33" w:name="税收"/>
      <w:r>
        <w:t xml:space="preserve">税收</w:t>
      </w:r>
      <w:bookmarkEnd w:id="33"/>
    </w:p>
    <w:p>
      <w:pPr>
        <w:pStyle w:val="Heading3"/>
      </w:pPr>
      <w:bookmarkStart w:id="34" w:name="财政部国家税务总局联合印发关于对页岩气减征资源税的通知"/>
      <w:r>
        <w:t xml:space="preserve">财政部、国家税务总局联合印发《关于对页岩气减征资源税的通知》</w:t>
      </w:r>
      <w:bookmarkEnd w:id="34"/>
    </w:p>
    <w:p>
      <w:pPr>
        <w:pStyle w:val="FirstParagraph"/>
      </w:pPr>
      <w:r>
        <w:t xml:space="preserve">财政部、国家税务总局联合印发《关于对页岩气减征资源税的通知》，从2018年4月1日起至2021年3月31日，两部委对页岩气资源税（按6%的规定税率）减征30%。尽管中国已持续七年对页岩气进行财政补贴，但这是首次以减征资源税的形式出现。</w:t>
      </w:r>
    </w:p>
    <w:p>
      <w:pPr>
        <w:pStyle w:val="TextBody"/>
      </w:pPr>
      <w:r>
        <w:t xml:space="preserve">厦门大学能源政策研究院院长林伯强说，以目前的页岩气开采成本和收益率难以吸引投资，需要更多投资者和企业参与进来，从而加快技术进步，通过技术快速进步大幅降低开采成本，这就需要政府政策给予相应的刺激。就像《通知》所强调的，减税是为促进页岩气开发利用，有效增加天然气供给。天风证券分析师也认为，非常规气源的开发资金投入巨大、技术门槛高，为鼓励行业的可持续高速发展和技术进步，补贴和税收减免政策仍然是必不可少的。</w:t>
      </w:r>
    </w:p>
    <w:p>
      <w:pPr>
        <w:pStyle w:val="TextBody"/>
      </w:pPr>
      <w:hyperlink r:id="rId35">
        <w:r>
          <w:rPr>
            <w:rStyle w:val="Hyperlink"/>
          </w:rPr>
          <w:t xml:space="preserve">http://www.ctax.org.cn/csyw/201804/t20180417_1074999.shtml</w:t>
        </w:r>
      </w:hyperlink>
    </w:p>
    <w:p>
      <w:pPr>
        <w:pStyle w:val="Heading2"/>
      </w:pPr>
      <w:bookmarkStart w:id="36" w:name="行业"/>
      <w:r>
        <w:t xml:space="preserve">行业</w:t>
      </w:r>
      <w:bookmarkEnd w:id="36"/>
    </w:p>
    <w:p>
      <w:pPr>
        <w:pStyle w:val="Heading3"/>
      </w:pPr>
      <w:bookmarkStart w:id="37" w:name="国家市场监管管理总局印发关于进一步加强直销监督管理工作的意见"/>
      <w:r>
        <w:t xml:space="preserve">国家市场监管管理总局印发《关于进一步加强直销监督管理工作的意见》</w:t>
      </w:r>
      <w:bookmarkEnd w:id="37"/>
    </w:p>
    <w:p>
      <w:pPr>
        <w:pStyle w:val="FirstParagraph"/>
      </w:pPr>
      <w:r>
        <w:t xml:space="preserve">近日，国家市场监督管理总局印发《关于进一步加强直销监督管理工作的意见》（以下简称《意见》），要求各地工商和市场监管部门进一步加强直销监督管理工作。</w:t>
      </w:r>
    </w:p>
    <w:p>
      <w:pPr>
        <w:pStyle w:val="TextBody"/>
      </w:pPr>
      <w:r>
        <w:t xml:space="preserve">《意见》指出，要在“放管服”改革大背景下，维护直销市场秩序，促进直销市场规范健康有序发展，并就进一步加强直销监督管理工作提出意见，要加强对直销企业、直销员及直销企业经销商、合作方、关联方的监管。各地工商和市场监管部门应按照《直销管理条例》等法律法规要求，加强对直销经营主体的监管，关注其是否获得直销活动区域许可，是否及时变更直销经营许可和企业登记注册事项等；加强对直销员招募活动的监管，关注招募主体、招募对象和招募广告内容是否合法，是否以交纳费用或购买商品作为发展直销员的条件；加强对分销直销企业产品的经销商及各类经营主体的监管，督促直销企业对其经销商的经营行为进行指引和约束；加强对与直销企业有合作协议关系的合作方、关联方的监管。</w:t>
      </w:r>
    </w:p>
    <w:p>
      <w:pPr>
        <w:pStyle w:val="TextBody"/>
      </w:pPr>
      <w:hyperlink r:id="rId38">
        <w:r>
          <w:rPr>
            <w:rStyle w:val="Hyperlink"/>
          </w:rPr>
          <w:t xml:space="preserve">http://www.cicn.com.cn/zggsb/2018-04/12/cms105975article.shtml</w:t>
        </w:r>
      </w:hyperlink>
    </w:p>
    <w:p>
      <w:pPr>
        <w:pStyle w:val="Heading3"/>
      </w:pPr>
      <w:bookmarkStart w:id="39" w:name="智能网联汽车道路测试管理规范试行发布"/>
      <w:r>
        <w:t xml:space="preserve">《智能网联汽车道路测试管理规范（试行）》发布</w:t>
      </w:r>
      <w:bookmarkEnd w:id="39"/>
    </w:p>
    <w:p>
      <w:pPr>
        <w:pStyle w:val="FirstParagraph"/>
      </w:pPr>
      <w:r>
        <w:t xml:space="preserve">近日，工信部、公安部、交通运输部发布《智能网联汽车道路测试管理规范（试行）》，明确上路测试的一系列要求以及交通违法处理依据。专家认为，管理规范的出台是行业发展的关键一步，必将推动“无人”驾驶加速“驶向”现实生活。</w:t>
      </w:r>
    </w:p>
    <w:p>
      <w:pPr>
        <w:pStyle w:val="TextBody"/>
      </w:pPr>
      <w:r>
        <w:t xml:space="preserve">管理规范明确测试驾驶人需满足签订劳动合同或劳务合同、经过自动驾驶培训、无重大交通违章记录等条件，并在测试期间始终处于驾驶位置上，随时准备接管车辆。据专家介绍，“无人”驾驶所依靠的自动驾驶技术可分为5级。从全球看，跨国车企已实现部分自动驾驶（L2级）汽车的批量生产，少数推出有条件自动驾驶（L3级）汽车，以谷歌为代表的新技术力量在开展全自动驾驶技术（L4、L5级）的研发测试，中国目前进入路测的汽车处在L2级和L3级。</w:t>
      </w:r>
    </w:p>
    <w:p>
      <w:pPr>
        <w:pStyle w:val="TextBody"/>
      </w:pPr>
      <w:hyperlink r:id="rId40">
        <w:r>
          <w:rPr>
            <w:rStyle w:val="Hyperlink"/>
          </w:rPr>
          <w:t xml:space="preserve">http://news.jcrb.com/jxsw/201804/t20180412_1858326.html</w:t>
        </w:r>
      </w:hyperlink>
    </w:p>
    <w:p>
      <w:pPr>
        <w:pStyle w:val="Heading3"/>
      </w:pPr>
      <w:bookmarkStart w:id="41" w:name="南海出台在建宅基地分批处置办法补办手续允许恢复建设"/>
      <w:r>
        <w:t xml:space="preserve">南海出台在建宅基地分批处置办法，补办手续允许恢复建设</w:t>
      </w:r>
      <w:bookmarkEnd w:id="41"/>
    </w:p>
    <w:p>
      <w:pPr>
        <w:pStyle w:val="FirstParagraph"/>
      </w:pPr>
      <w:r>
        <w:t xml:space="preserve">日前，南海区出台《佛山市南海区农村宅基地管理规定》（以下简称《规定》），并印发了《佛山市南海区在建宅基地分类处置工作方案》（以下简称《方案》）。《规定》在宅基地的规划与管控、宅基地资格准入与审批、针对宅基地历史遗留问题的处理方案、宅基地流转等方面作出明确规定。</w:t>
      </w:r>
    </w:p>
    <w:p>
      <w:pPr>
        <w:pStyle w:val="TextBody"/>
      </w:pPr>
      <w:r>
        <w:t xml:space="preserve">《规定》要求，各镇人民政府（街道办事处）负责对辖区内农村居民点合理划定宅基地禁建区、限建区、可建区。一旦被划为禁建区，将停止新增单家独院类型的宅基地审批；而在可建区内，将按照“一户一宅，面积不超80平方米”的规定进行新增单家独院类型的宅基地审批。《方案》中明确指出，在建宅基地，是指在2018年2月26日前地块已动工建设但工程尚未完工的宅基地。对于违法新建、抢建宅基地的行为，南海将坚决遏制；同时，南海将以尊重历史为前提，按照分类处置、高效处理的原则，分期分批对在建宅基地进行处置。</w:t>
      </w:r>
    </w:p>
    <w:p>
      <w:pPr>
        <w:pStyle w:val="TextBody"/>
      </w:pPr>
      <w:hyperlink r:id="rId42">
        <w:r>
          <w:rPr>
            <w:rStyle w:val="Hyperlink"/>
          </w:rPr>
          <w:t xml:space="preserve">https://www.thepaper.cn/newsDetail_forward_2080506</w:t>
        </w:r>
      </w:hyperlink>
    </w:p>
    <w:p>
      <w:pPr>
        <w:pStyle w:val="Heading3"/>
      </w:pPr>
      <w:bookmarkStart w:id="43" w:name="商务部初裁认定美国进口高粱存在倾销"/>
      <w:r>
        <w:t xml:space="preserve">商务部初裁认定美国进口高粱存在倾销</w:t>
      </w:r>
      <w:bookmarkEnd w:id="43"/>
    </w:p>
    <w:p>
      <w:pPr>
        <w:pStyle w:val="FirstParagraph"/>
      </w:pPr>
      <w:r>
        <w:t xml:space="preserve">2018年4月17日，商务部发布2018年第38号公告，公布对原产于美国的进口高粱反倾销调查的初步裁定。商务部裁定原产于美国的进口高粱存在倾销，国内高粱产业受到了实质损害，且倾销与实质损害之间存在因果关系，并决定对原产于美国的进口高粱实施临时反倾销措施。</w:t>
      </w:r>
    </w:p>
    <w:p>
      <w:pPr>
        <w:pStyle w:val="TextBody"/>
      </w:pPr>
      <w:r>
        <w:t xml:space="preserve">根据裁定，自2018年4月18日起，进口经营者在进口原产于美国的进口高粱时，应依据裁定所确定的各公司保证金比率（178.6%）向中华人民共和国海关提供相应的保证金。该产品归在《中华人民共和国进出口税则》10079000项下。商务部贸易救济调查局局长王贺军表示，根据中国《反倾销条例》第30条和世贸组织《反倾销协议》第7.3条，在立案60天后，调查机关有权作出初步裁定并采取临时措施。本案于2018年2月4日立案，4月17日作出初裁，符合中国法律和世贸组织规则。王贺军指出，美国利害关系方可以根据中国法律法规和世贸组织规则，继续参与后续调查程序，表达自己的主张和关注。调查机关将严格按照中国法律法规和世贸组织规则，保障各利害关系方的正当程序权利，公开透明进行调查，客观公正作出裁决。</w:t>
      </w:r>
    </w:p>
    <w:p>
      <w:pPr>
        <w:pStyle w:val="TextBody"/>
      </w:pPr>
      <w:hyperlink r:id="rId44">
        <w:r>
          <w:rPr>
            <w:rStyle w:val="Hyperlink"/>
          </w:rPr>
          <w:t xml:space="preserve">http://www.chinaforex.com.cn/index.php/cms/item-view-id-46684.shtml</w:t>
        </w:r>
      </w:hyperlink>
    </w:p>
    <w:p>
      <w:pPr>
        <w:pStyle w:val="Heading2"/>
      </w:pPr>
      <w:bookmarkStart w:id="45" w:name="并购"/>
      <w:r>
        <w:t xml:space="preserve">并购</w:t>
      </w:r>
      <w:bookmarkEnd w:id="45"/>
    </w:p>
    <w:p>
      <w:pPr>
        <w:pStyle w:val="Heading3"/>
      </w:pPr>
      <w:bookmarkStart w:id="46" w:name="科林环保拟3亿现金收购江苏博恩51股权"/>
      <w:r>
        <w:t xml:space="preserve">科林环保拟3亿现金收购江苏博恩51%股权</w:t>
      </w:r>
      <w:bookmarkEnd w:id="46"/>
    </w:p>
    <w:p>
      <w:pPr>
        <w:pStyle w:val="FirstParagraph"/>
      </w:pPr>
      <w:r>
        <w:t xml:space="preserve">2018年4月18日，科林环保发布公告，公司拟于近日签署《江苏博恩环境工程成套设备有限公司投资协议》，以现金方式收购台州恒昇和顺盈资本所持有的江苏博恩环境工程成套设备有限公司（以下简称“江苏博恩”）51%的股权，合计交易对价为3.06亿元，对应江苏博恩100%股权交易价值为6亿元，按江苏博恩2018-2020年累计承诺净利润平均值计算，对应交易市盈率为12倍。</w:t>
      </w:r>
    </w:p>
    <w:p>
      <w:pPr>
        <w:pStyle w:val="TextBody"/>
      </w:pPr>
      <w:r>
        <w:t xml:space="preserve">科林环保表示，此次投资收购江苏博恩部分股权，进军市政及工业环境领域异味治理行业，是公司在坚持大环保的整体战略背景下，布局新能源行业之后的又一重要投资。本次投资是公司快速切入异味治理行业较为高效的方式，有利于发展公司大环保业务产业链，也有利于公司在现有业务基础上开辟新的利润增长点，对于完善公司产业布局具有重大意义。本次交易完成后，公司将协助江苏博恩积极拓展现有业务，并增大研发力度，助力其打造成为以科研、制造、工程为一体的环保企业，并带动公司原有工程、运维等业务的协同发展。</w:t>
      </w:r>
    </w:p>
    <w:p>
      <w:pPr>
        <w:pStyle w:val="TextBody"/>
      </w:pPr>
      <w:hyperlink r:id="rId47">
        <w:r>
          <w:rPr>
            <w:rStyle w:val="Hyperlink"/>
          </w:rPr>
          <w:t xml:space="preserve">http://company.stcn.com/2018/0418/14126351.shtml</w:t>
        </w:r>
      </w:hyperlink>
    </w:p>
    <w:p>
      <w:pPr>
        <w:pStyle w:val="Heading3"/>
      </w:pPr>
      <w:bookmarkStart w:id="48" w:name="金字火腿拟收购晨牌药业做大医药产业"/>
      <w:r>
        <w:t xml:space="preserve">金字火腿拟收购晨牌药业，做大医药产业</w:t>
      </w:r>
      <w:bookmarkEnd w:id="48"/>
    </w:p>
    <w:p>
      <w:pPr>
        <w:pStyle w:val="FirstParagraph"/>
      </w:pPr>
      <w:r>
        <w:t xml:space="preserve">金字火腿近日公告称，拟支付现金10.56亿元收购中钰高科等5名交易对手持有的晨牌药业81.23%股份。收购完成后，公司初步形成火腿及肉制品与医药医疗大健康双主业发展的经营模式。</w:t>
      </w:r>
    </w:p>
    <w:p>
      <w:pPr>
        <w:pStyle w:val="TextBody"/>
      </w:pPr>
      <w:r>
        <w:t xml:space="preserve">晨牌药业及其子公司主要从事化学药制剂、中成药制剂的研发、生产和销售，拥有163项药品注册和再注册批件，产品应用范围涵盖心脑血管系统、内分泌系统、神经系统、妇科、呼吸系统等多种剂型的生产能力，所有生产线均已通过新版GMP验证。据了解，主营火腿及火腿系列产品等业务的金字火腿一直在谋求转型。2017年11月，公司控股子公司中钰资本收购了纽交所上市公司NBY的37.14%股权，后者是一家致力于全球抗感染市场的临床期生物制药公司。2018年1月，中钰资本联手浙江两家上市药企共同设立总规模20亿元的医药产业投资基金。</w:t>
      </w:r>
    </w:p>
    <w:p>
      <w:pPr>
        <w:pStyle w:val="TextBody"/>
      </w:pPr>
      <w:hyperlink r:id="rId49">
        <w:r>
          <w:rPr>
            <w:rStyle w:val="Hyperlink"/>
          </w:rPr>
          <w:t xml:space="preserve">http://company.stcn.com/2018/0419/14129455.shtml</w:t>
        </w:r>
      </w:hyperlink>
    </w:p>
    <w:p>
      <w:pPr>
        <w:pStyle w:val="Heading3"/>
      </w:pPr>
      <w:bookmarkStart w:id="50" w:name="东方金钰17亿元收购资产加码珠宝主业"/>
      <w:r>
        <w:t xml:space="preserve">东方金钰17亿元收购资产，加码珠宝主业</w:t>
      </w:r>
      <w:bookmarkEnd w:id="50"/>
    </w:p>
    <w:p>
      <w:pPr>
        <w:pStyle w:val="FirstParagraph"/>
      </w:pPr>
      <w:r>
        <w:t xml:space="preserve">在停牌3个月后，东方金钰近日披露重组预案，公司拟以总价17.26亿元现金购买金龙房地产、瑞丽金星翡翠珠宝交易市场等资产，实现向珠宝加工、零售等领域拓展。根据预案，东方金钰拟通过全资子公司宏宁珠宝向公司控股股东兴龙实业收购金龙房地产100%股权、向金星房地产收购瑞丽金星翡翠珠宝交易市场，通过全资子公司兴龙珠宝向泰丽宫珠宝收购泰丽宫珠宝交易市场。</w:t>
      </w:r>
    </w:p>
    <w:p>
      <w:pPr>
        <w:pStyle w:val="TextBody"/>
      </w:pPr>
      <w:r>
        <w:t xml:space="preserve">此次交易作价总额17.26亿元，均为现金支付。其中，金龙房地产100%股权预估值6.08亿元，增值率122.39%；瑞丽金星翡翠珠宝交易市场预估值7.86亿元，增值率178.57%；泰丽宫珠宝交易市场预估值约3.32亿元，增值率774.36%。此次交易未作业绩承诺及补偿安排。目前我国是全球最大的珠宝消费市场，近年来珠宝企业发展呈现向全渠道布局、全产业链布局的特点。东方金钰是我国第一家翡翠类上市公司。公司表示，本次将对产业链纵向延伸，所收购资产将在加工生产及终端渠道等环节完善和补足上市公司原有产业链。</w:t>
      </w:r>
    </w:p>
    <w:p>
      <w:pPr>
        <w:pStyle w:val="TextBody"/>
      </w:pPr>
      <w:hyperlink r:id="rId51">
        <w:r>
          <w:rPr>
            <w:rStyle w:val="Hyperlink"/>
          </w:rPr>
          <w:t xml:space="preserve">http://company.stcn.com/2018/0419/14129457.shtml</w:t>
        </w:r>
      </w:hyperlink>
    </w:p>
    <w:p>
      <w:pPr>
        <w:pStyle w:val="Heading3"/>
      </w:pPr>
      <w:bookmarkStart w:id="52" w:name="申通快递4.13亿收购转运中心加快中转直营步伐"/>
      <w:r>
        <w:t xml:space="preserve">申通快递4.13亿收购转运中心，加快中转直营步伐</w:t>
      </w:r>
      <w:bookmarkEnd w:id="52"/>
    </w:p>
    <w:p>
      <w:pPr>
        <w:pStyle w:val="FirstParagraph"/>
      </w:pPr>
      <w:r>
        <w:t xml:space="preserve">申通快递近日公告称，为提高中转时效，发挥重点城市中转环节辐射带动作用，公司全资子公司申通有限拟2.89亿元收购北京转运中心中转业务资产组、1.24亿元收购湖北转运中心中转业务资产组。</w:t>
      </w:r>
    </w:p>
    <w:p>
      <w:pPr>
        <w:pStyle w:val="TextBody"/>
      </w:pPr>
      <w:r>
        <w:t xml:space="preserve">申通快递表示，此番收购标志着公司全国路由一盘棋战略迈出实质性一步。公司目标是分布在全国各地的核心中转中心逐步直营化，从而进一步降低运营成本，增加公司中转业务收入，并加强对加盟网点的管控，提升服务质量。另外，随着快递业竞争加剧，更加有利于降本增效的核心地区中转中心直营模式逐步成为发展趋势，各大快递上市公司逐步开启核心地区中转中心直营模式。</w:t>
      </w:r>
    </w:p>
    <w:p>
      <w:pPr>
        <w:pStyle w:val="TextBody"/>
      </w:pPr>
      <w:hyperlink r:id="rId53">
        <w:r>
          <w:rPr>
            <w:rStyle w:val="Hyperlink"/>
          </w:rPr>
          <w:t xml:space="preserve">http://company.stcn.com/2018/0418/14125762.shtml</w:t>
        </w:r>
      </w:hyperlink>
    </w:p>
    <w:p>
      <w:pPr>
        <w:pStyle w:val="Heading3"/>
      </w:pPr>
      <w:bookmarkStart w:id="54" w:name="天海投资拟75亿元收购当当网"/>
      <w:r>
        <w:t xml:space="preserve">天海投资拟75亿元收购当当网</w:t>
      </w:r>
      <w:bookmarkEnd w:id="54"/>
    </w:p>
    <w:p>
      <w:pPr>
        <w:pStyle w:val="FirstParagraph"/>
      </w:pPr>
      <w:r>
        <w:t xml:space="preserve">天海投资近日公告称，拟通过发行股份及支付现金方式购买俞渝、李国庆、天津骞程、天津微量、上海宜修合计持有的当当科文100%股权以及天津科文、天津国略、天津骞程、天津微量、上海宜修、E-Commerce合计持有的北京当当100%股权，标的资产初步作价75亿元。</w:t>
      </w:r>
    </w:p>
    <w:p>
      <w:pPr>
        <w:pStyle w:val="TextBody"/>
      </w:pPr>
      <w:r>
        <w:t xml:space="preserve">同时，天海投资拟通过发行股份方式向天津保税区投资控股集团有限公司等不超过10名的特定投资者募集配套资金40.6亿元，其中34.4亿元用于本次交易的现金支付。天海投资表示，当当是综合性电商平台，经营图书、音像、母婴、美妆、家居、数码3C、服装、鞋包等产品，在线上图书出版物零售领域处于领先地位，并在电商领域积累了丰富的客户运营经验、大数据和品牌；通过本次交易，可以更好地完善上市公司的业务板块布局，实现联动协同效应；本次交易有利于提升上市公司业绩水平，增强公司竞争实力。</w:t>
      </w:r>
    </w:p>
    <w:p>
      <w:pPr>
        <w:pStyle w:val="TextBody"/>
      </w:pPr>
      <w:hyperlink r:id="rId55">
        <w:r>
          <w:rPr>
            <w:rStyle w:val="Hyperlink"/>
          </w:rPr>
          <w:t xml:space="preserve">http://company.stcn.com/2018/0412/14106181.shtml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如果您不希望收到该法讯，请电邮  </w:t>
      </w:r>
      <w:hyperlink r:id="rId10">
        <w:r>
          <w:rPr/>
          <w:t>unsubscribe@charltonslaw.com</w:t>
        </w:r>
      </w:hyperlink>
    </w:p>
    <w:p>
      <w:pPr>
        <w:pStyle w:val="BlackStrips"/>
      </w:pPr>
      <w:r>
        <w:t>Charltons - 法讯 - 中国 - 2018年4月20日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b63c85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55" Type="http://schemas.openxmlformats.org/officeDocument/2006/relationships/hyperlink" Target="http://company.stcn.com/2018/0412/14106181.shtml" TargetMode="External"/><Relationship Id="rId53" Type="http://schemas.openxmlformats.org/officeDocument/2006/relationships/hyperlink" Target="http://company.stcn.com/2018/0418/14125762.shtml" TargetMode="External"/><Relationship Id="rId47" Type="http://schemas.openxmlformats.org/officeDocument/2006/relationships/hyperlink" Target="http://company.stcn.com/2018/0418/14126351.shtml" TargetMode="External"/><Relationship Id="rId49" Type="http://schemas.openxmlformats.org/officeDocument/2006/relationships/hyperlink" Target="http://company.stcn.com/2018/0419/14129455.shtml" TargetMode="External"/><Relationship Id="rId51" Type="http://schemas.openxmlformats.org/officeDocument/2006/relationships/hyperlink" Target="http://company.stcn.com/2018/0419/14129457.shtml" TargetMode="External"/><Relationship Id="rId40" Type="http://schemas.openxmlformats.org/officeDocument/2006/relationships/hyperlink" Target="http://news.jcrb.com/jxsw/201804/t20180412_1858326.html" TargetMode="External"/><Relationship Id="rId32" Type="http://schemas.openxmlformats.org/officeDocument/2006/relationships/hyperlink" Target="http://news.sina.com.cn/c/2018-04-12/doc-ifyuwqez9510437.shtml" TargetMode="External"/><Relationship Id="rId44" Type="http://schemas.openxmlformats.org/officeDocument/2006/relationships/hyperlink" Target="http://www.chinaforex.com.cn/index.php/cms/item-view-id-46684.shtml" TargetMode="External"/><Relationship Id="rId38" Type="http://schemas.openxmlformats.org/officeDocument/2006/relationships/hyperlink" Target="http://www.cicn.com.cn/zggsb/2018-04/12/cms105975article.shtml" TargetMode="External"/><Relationship Id="rId23" Type="http://schemas.openxmlformats.org/officeDocument/2006/relationships/hyperlink" Target="http://www.csrc.gov.cn/pub/newsite/zjhxwfb/xwdd/201804/t20180413_336624.html" TargetMode="External"/><Relationship Id="rId35" Type="http://schemas.openxmlformats.org/officeDocument/2006/relationships/hyperlink" Target="http://www.ctax.org.cn/csyw/201804/t20180417_1074999.shtml" TargetMode="External"/><Relationship Id="rId27" Type="http://schemas.openxmlformats.org/officeDocument/2006/relationships/hyperlink" Target="http://www.sohu.com/a/227927215_118392" TargetMode="External"/><Relationship Id="rId29" Type="http://schemas.openxmlformats.org/officeDocument/2006/relationships/hyperlink" Target="http://www.stcn.com/2018/0419/14129426.shtml" TargetMode="External"/><Relationship Id="rId25" Type="http://schemas.openxmlformats.org/officeDocument/2006/relationships/hyperlink" Target="http://www.xinhuanet.com/fortune/2018-04/14/c_1122680662.htm" TargetMode="External"/><Relationship Id="rId42" Type="http://schemas.openxmlformats.org/officeDocument/2006/relationships/hyperlink" Target="https://www.thepaper.cn/newsDetail_forward_2080506" TargetMode="External"/><Relationship Id="rId9" Type="http://schemas.openxmlformats.org/officeDocument/2006/relationships/hyperlink" Target="http://www.charltonslaw.com.cn/zhong-yang-wang-xin-ban-he-zhong-guo-zheng-jian-hui-lian-he-fa-bu-guan-yu-tui-dong-zi-ben-shi-chang-fu-wu-wang-luo-qiang-guo-jian-she-de-zhi-dao-yi-jian"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5" Type="http://schemas.openxmlformats.org/officeDocument/2006/relationships/hyperlink" Target="http://company.stcn.com/2018/0412/14106181.shtml" TargetMode="External"/><Relationship Id="rId53" Type="http://schemas.openxmlformats.org/officeDocument/2006/relationships/hyperlink" Target="http://company.stcn.com/2018/0418/14125762.shtml" TargetMode="External"/><Relationship Id="rId47" Type="http://schemas.openxmlformats.org/officeDocument/2006/relationships/hyperlink" Target="http://company.stcn.com/2018/0418/14126351.shtml" TargetMode="External"/><Relationship Id="rId49" Type="http://schemas.openxmlformats.org/officeDocument/2006/relationships/hyperlink" Target="http://company.stcn.com/2018/0419/14129455.shtml" TargetMode="External"/><Relationship Id="rId51" Type="http://schemas.openxmlformats.org/officeDocument/2006/relationships/hyperlink" Target="http://company.stcn.com/2018/0419/14129457.shtml" TargetMode="External"/><Relationship Id="rId40" Type="http://schemas.openxmlformats.org/officeDocument/2006/relationships/hyperlink" Target="http://news.jcrb.com/jxsw/201804/t20180412_1858326.html" TargetMode="External"/><Relationship Id="rId32" Type="http://schemas.openxmlformats.org/officeDocument/2006/relationships/hyperlink" Target="http://news.sina.com.cn/c/2018-04-12/doc-ifyuwqez9510437.shtml" TargetMode="External"/><Relationship Id="rId44" Type="http://schemas.openxmlformats.org/officeDocument/2006/relationships/hyperlink" Target="http://www.chinaforex.com.cn/index.php/cms/item-view-id-46684.shtml" TargetMode="External"/><Relationship Id="rId38" Type="http://schemas.openxmlformats.org/officeDocument/2006/relationships/hyperlink" Target="http://www.cicn.com.cn/zggsb/2018-04/12/cms105975article.shtml" TargetMode="External"/><Relationship Id="rId23" Type="http://schemas.openxmlformats.org/officeDocument/2006/relationships/hyperlink" Target="http://www.csrc.gov.cn/pub/newsite/zjhxwfb/xwdd/201804/t20180413_336624.html" TargetMode="External"/><Relationship Id="rId35" Type="http://schemas.openxmlformats.org/officeDocument/2006/relationships/hyperlink" Target="http://www.ctax.org.cn/csyw/201804/t20180417_1074999.shtml" TargetMode="External"/><Relationship Id="rId27" Type="http://schemas.openxmlformats.org/officeDocument/2006/relationships/hyperlink" Target="http://www.sohu.com/a/227927215_118392" TargetMode="External"/><Relationship Id="rId29" Type="http://schemas.openxmlformats.org/officeDocument/2006/relationships/hyperlink" Target="http://www.stcn.com/2018/0419/14129426.shtml" TargetMode="External"/><Relationship Id="rId25" Type="http://schemas.openxmlformats.org/officeDocument/2006/relationships/hyperlink" Target="http://www.xinhuanet.com/fortune/2018-04/14/c_1122680662.htm" TargetMode="External"/><Relationship Id="rId42" Type="http://schemas.openxmlformats.org/officeDocument/2006/relationships/hyperlink" Target="https://www.thepaper.cn/newsDetail_forward_20805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2018-04-20T02:53:04Z</dcterms:created>
  <dcterms:modified xsi:type="dcterms:W3CDTF">2018-04-20T02:53:04Z</dcterms:modified>
</cp:coreProperties>
</file>