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- 2018年6月25日</w:t>
      </w:r>
    </w:p>
    <w:p>
      <w:pPr>
        <w:pStyle w:val="ReadOnline"/>
      </w:pPr>
      <w:hyperlink r:id="rId9">
        <w:r>
          <w:rPr/>
          <w:t>online version</w:t>
        </w:r>
      </w:hyperlink>
    </w:p>
    <w:p>
      <w:pPr>
        <w:pStyle w:val="Title"/>
      </w:pPr>
      <w:r>
        <w:t>中国证监会会同银保监会联合发布《关于商业银行担任存托凭证试点存托人有关事项规定》并修订发布有关规章及规范性文件</w:t>
      </w:r>
    </w:p>
    <w:p>
      <w:pPr>
        <w:pStyle w:val="Heading2"/>
      </w:pPr>
      <w:bookmarkStart w:id="21" w:name="资本市场"/>
      <w:r>
        <w:t xml:space="preserve">资本市场</w:t>
      </w:r>
      <w:bookmarkEnd w:id="21"/>
    </w:p>
    <w:p>
      <w:pPr>
        <w:pStyle w:val="Heading3"/>
      </w:pPr>
      <w:bookmarkStart w:id="22" w:name="中国证监会会同银保监会联合发布关于商业银行担任存托凭证试点存托人有关事项规定并修订发布有关规章及规范性文件"/>
      <w:r>
        <w:t xml:space="preserve">中国证监会会同银保监会联合发布《关于商业银行担任存托凭证试点存托人有关事项规定》并修订发布有关规章及规范性文件</w:t>
      </w:r>
      <w:bookmarkEnd w:id="22"/>
    </w:p>
    <w:p>
      <w:pPr>
        <w:pStyle w:val="FirstParagraph"/>
      </w:pPr>
      <w:r>
        <w:t xml:space="preserve">为支持创新企业发行股票或存托凭证试点，进一步健全试点工作相关配套制度，近日，中国证监会会同银保监会联合发布《关于商业银行担任存托凭证试点存托人有关事项规定》，同时修订发布《证券发行与承销管理办法》（以下简称《管理办法》）、《创新企业境内发行股票或存托凭证上市后持续监管实施办法（试行）》（以下简称《实施办法》）、《存托凭证存托协议内容与格式指引（试行）》（以下简称《存托协议指引》），自公布之日起施行。</w:t>
      </w:r>
    </w:p>
    <w:p>
      <w:pPr>
        <w:pStyle w:val="TextBody"/>
      </w:pPr>
      <w:r>
        <w:t xml:space="preserve">修订后的《管理办法》将存托凭证纳入适用范围，明确市值申购的计算包含存托凭证；允许发行规模2000万股以下的企业也可通过询价方式确定发行价格；改进回拨机制等。《实施办法》在公司治理、信息披露、收购及股份权益变动、资产重组的规范要求以及股权激励、现金分红的信息披露等方面作出相应安排，兼顾了试点创新企业的特殊性与境内上市公司的一般监管要求，也对不同类型的创新企业体现分类监管原则。另外，《存托协议指引》主要是规范存托协议的制定，明确基础证券发行人、存托凭证持有人和存托人权利义务关系，以保护存托凭证持有人合法权益。</w:t>
      </w:r>
    </w:p>
    <w:p>
      <w:pPr>
        <w:pStyle w:val="TextBody"/>
      </w:pPr>
      <w:hyperlink r:id="rId23">
        <w:r>
          <w:rPr>
            <w:rStyle w:val="Hyperlink"/>
          </w:rPr>
          <w:t xml:space="preserve">http://news.cnstock.com/news,bwkx-201806-4235299.htm</w:t>
        </w:r>
      </w:hyperlink>
    </w:p>
    <w:p>
      <w:pPr>
        <w:pStyle w:val="Heading3"/>
      </w:pPr>
      <w:bookmarkStart w:id="24" w:name="中国结算正式发布存托凭证登记结算业务规则试行"/>
      <w:r>
        <w:t xml:space="preserve">中国结算正式发布《存托凭证登记结算业务规则（试行）》</w:t>
      </w:r>
      <w:bookmarkEnd w:id="24"/>
    </w:p>
    <w:p>
      <w:pPr>
        <w:pStyle w:val="FirstParagraph"/>
      </w:pPr>
      <w:r>
        <w:t xml:space="preserve">为深化资本市场改革、扩大开放，支持创新企业在境内资本市场发行存托凭证试点安全高效启动，经中国证监会批准，中国证券登记结算有限责任公司（以下简称“中国结算”）今日正式发布《存托凭证登记结算业务规则（试行）》（以下简称《规则》），自发布之日起施行。</w:t>
      </w:r>
    </w:p>
    <w:p>
      <w:pPr>
        <w:pStyle w:val="TextBody"/>
      </w:pPr>
      <w:r>
        <w:t xml:space="preserve">《规则》对存托凭证试点登记、存管和结算业务进行了规范，为创新企业发行存托凭证试点奠定了制度基础。需要说明的是，适用范围方面，《规则》主要对创新企业发行存托凭证相关登记结算业务进行了规范。收费标准方面，存托凭证登记结算业务收费标准原则上比照人民币普通股票（以下简称“A股”）相应收费标准执行，原A股按面值收取的费用均调整为按照份额收取，单位相应调整为“元/份”，费率不变。质押业务方面，试点初期，本公司暂不受理存托凭证质押登记业务，相关规则另行制定。</w:t>
      </w:r>
    </w:p>
    <w:p>
      <w:pPr>
        <w:pStyle w:val="TextBody"/>
      </w:pPr>
      <w:hyperlink r:id="rId25">
        <w:r>
          <w:rPr>
            <w:rStyle w:val="Hyperlink"/>
          </w:rPr>
          <w:t xml:space="preserve">http://news.cnstock.com/news,bwkx-201806-4235211.htm</w:t>
        </w:r>
      </w:hyperlink>
    </w:p>
    <w:p>
      <w:pPr>
        <w:pStyle w:val="Heading3"/>
      </w:pPr>
      <w:bookmarkStart w:id="26" w:name="中国证券业协会修改首次公开发行股票承销业务规范"/>
      <w:r>
        <w:t xml:space="preserve">中国证券业协会修改首次公开发行股票承销业务规范</w:t>
      </w:r>
      <w:bookmarkEnd w:id="26"/>
    </w:p>
    <w:p>
      <w:pPr>
        <w:pStyle w:val="FirstParagraph"/>
      </w:pPr>
      <w:r>
        <w:t xml:space="preserve">中国证券业协会近日发布《关于发布首次公开发行股票三项自律规则修改决定的通知》（以下简称《通知》）称，对《首次公开发行股票承销业务规范》作出修改，自公布之日起施行。</w:t>
      </w:r>
    </w:p>
    <w:p>
      <w:pPr>
        <w:pStyle w:val="TextBody"/>
      </w:pPr>
      <w:r>
        <w:t xml:space="preserve">《通知》表示，第十三条第二款修改为：“首次公开发行股票数量在2000万股（含）以下且无老股转让计划的，可以通过直接定价的方式确定发行价格。采用直接定价方式的，全部向网上投资者发行，不进行网下询价和配售”。关于配售对象等方面，第二十四条第一款修改为：“主承销商应当和发行人安排不低于本次网下发行股票数量的40%优先向通过公开募集方式设立的证券投资基金、基本养老保险基金和全国社会保障基金配售”。</w:t>
      </w:r>
    </w:p>
    <w:p>
      <w:pPr>
        <w:pStyle w:val="TextBody"/>
      </w:pPr>
      <w:hyperlink r:id="rId27">
        <w:r>
          <w:rPr>
            <w:rStyle w:val="Hyperlink"/>
          </w:rPr>
          <w:t xml:space="preserve">http://www.xinhuanet.com/money/2018-06/19/c_129896406.htm</w:t>
        </w:r>
      </w:hyperlink>
    </w:p>
    <w:p>
      <w:pPr>
        <w:pStyle w:val="Heading3"/>
      </w:pPr>
      <w:bookmarkStart w:id="28" w:name="上海证券交易所发布创新企业境内上市交易配套业务规则"/>
      <w:r>
        <w:t xml:space="preserve">上海证券交易所发布创新企业境内上市交易配套业务规则</w:t>
      </w:r>
      <w:bookmarkEnd w:id="28"/>
    </w:p>
    <w:p>
      <w:pPr>
        <w:pStyle w:val="FirstParagraph"/>
      </w:pPr>
      <w:r>
        <w:t xml:space="preserve">上海证券交易所近日发布《试点创新企业股票或存托凭证上市交易实施办法》（以下简称《实施办法》）等8项规则，这意味着备受关注的创新企业境内上市交易配套业务规则正式“落地”。</w:t>
      </w:r>
    </w:p>
    <w:p>
      <w:pPr>
        <w:pStyle w:val="TextBody"/>
      </w:pPr>
      <w:r>
        <w:t xml:space="preserve">据上海证券交易所相关负责人介绍，实施办法具备三个特点：一是整体性。交易所层面的配套规则涉及主体包括境内创新企业、境外已上市和尚未上市红筹企业，涉及的证券包括股票和存托凭证，涉及的内容包括上市条件、上市后的交易、上市后的持续信息披露等；二是针对性。在遵循现行基本业务规则中一般性规定的基础上，实施办法对创新试点企业股票或存托凭证在上市交易、信息披露日常监管、投资者保护等环节作出针对性安排；三是包容性。在统筹考虑三类试点创新企业共性制度需求的基础上，实施办法对境外已上市红筹企业信息披露的规则适用依法作出了适度、合理的差异化安排。</w:t>
      </w:r>
    </w:p>
    <w:p>
      <w:pPr>
        <w:pStyle w:val="TextBody"/>
      </w:pPr>
      <w:hyperlink r:id="rId29">
        <w:r>
          <w:rPr>
            <w:rStyle w:val="Hyperlink"/>
          </w:rPr>
          <w:t xml:space="preserve">http://www.xinhuanet.com/fortune/2018-06/16/c_1122995710.htm</w:t>
        </w:r>
      </w:hyperlink>
    </w:p>
    <w:p>
      <w:pPr>
        <w:pStyle w:val="Heading2"/>
      </w:pPr>
      <w:bookmarkStart w:id="30" w:name="保险"/>
      <w:r>
        <w:t xml:space="preserve">保险</w:t>
      </w:r>
      <w:bookmarkEnd w:id="30"/>
    </w:p>
    <w:p>
      <w:pPr>
        <w:pStyle w:val="Heading3"/>
      </w:pPr>
      <w:bookmarkStart w:id="31" w:name="中国人寿保险集团公司与上海市政府签署战略合作协议"/>
      <w:r>
        <w:t xml:space="preserve">中国人寿保险（集团）公司与上海市政府签署战略合作协议</w:t>
      </w:r>
      <w:bookmarkEnd w:id="31"/>
    </w:p>
    <w:p>
      <w:pPr>
        <w:pStyle w:val="FirstParagraph"/>
      </w:pPr>
      <w:r>
        <w:t xml:space="preserve">中国人寿保险（集团）公司与上海市政府在沪签署战略合作协议。根据战略合作协议，中国人寿与上海市政府将进行全方位战略合作，发挥中国人寿综合金融优势，共同推进上海国际金融中心建设、推进保险创新、促进社会保障和民生事业发展、服务“一带一路”倡议和推进重大项目建设。</w:t>
      </w:r>
    </w:p>
    <w:p>
      <w:pPr>
        <w:pStyle w:val="TextBody"/>
      </w:pPr>
      <w:r>
        <w:t xml:space="preserve">上海市委副书记、市长应勇指出，当前上海正在加快建设国际经济、金融、贸易、航运中心和具有全球影响力的科技创新中心，正在全力打响“上海服务”、“上海制造”、“上海购物”、“上海文化”四大品牌。金融作为“五个中心”建设的核心和“四大品牌”建设的重要力量，离不开广大金融机构的积极参与，上海支持包括中国人寿在内的各类金融机构将资源向上海倾斜，把更多的功能性机构加快向上海集聚。上海也将不断优化营商环境，为各类金融机构营造更好的发展环境和提供更好的服务保障。</w:t>
      </w:r>
    </w:p>
    <w:p>
      <w:pPr>
        <w:pStyle w:val="TextBody"/>
      </w:pPr>
      <w:hyperlink r:id="rId32">
        <w:r>
          <w:rPr>
            <w:rStyle w:val="Hyperlink"/>
          </w:rPr>
          <w:t xml:space="preserve">http://xw.sinoins.com/2018-06/20/content_264202.htm</w:t>
        </w:r>
      </w:hyperlink>
    </w:p>
    <w:p>
      <w:pPr>
        <w:pStyle w:val="Heading2"/>
      </w:pPr>
      <w:bookmarkStart w:id="33" w:name="税收"/>
      <w:r>
        <w:t xml:space="preserve">税收</w:t>
      </w:r>
      <w:bookmarkEnd w:id="33"/>
    </w:p>
    <w:p>
      <w:pPr>
        <w:pStyle w:val="Heading3"/>
      </w:pPr>
      <w:bookmarkStart w:id="34" w:name="国地税合并启幕全国省级新税务机构统一挂牌"/>
      <w:r>
        <w:t xml:space="preserve">国地税合并启幕，全国省级新税务机构统一挂牌</w:t>
      </w:r>
      <w:bookmarkEnd w:id="34"/>
    </w:p>
    <w:p>
      <w:pPr>
        <w:pStyle w:val="FirstParagraph"/>
      </w:pPr>
      <w:r>
        <w:t xml:space="preserve">按照国务院统一部署，全国各省（自治区、直辖市）级以及计划单列市的国税局、地税局正式宣告合并，36个省级新税务机构统一挂牌，标志着国税地税征管体制改革迈出阶段性关键一步。</w:t>
      </w:r>
    </w:p>
    <w:p>
      <w:pPr>
        <w:pStyle w:val="TextBody"/>
      </w:pPr>
      <w:r>
        <w:t xml:space="preserve">此次改革主要内容是合并省级及省级以下国税地税机构，实行以税务总局为主与省（自治区、直辖市）政府双重领导管理体制，将基本养老保险费、基本医疗保险费、失业保险费等各项社会保险费交由税务部门统一征收。改革面向10多亿纳税人和缴费人，情况复杂，任务艰巨。根据部署，此次省级新税务局挂牌后，7月底前，市、县级税务局将逐级分步完成集中办公、新机构挂牌等改革事项。为服务好纳税人，国家税务总局已制发了《关于税务机构改革有关事项的公告》等制度文件，推出国税地税业务“一厅通办”、“一网通办”、“一键咨询”等一系列便民纳税举措。</w:t>
      </w:r>
    </w:p>
    <w:p>
      <w:pPr>
        <w:pStyle w:val="TextBody"/>
      </w:pPr>
      <w:hyperlink r:id="rId35">
        <w:r>
          <w:rPr>
            <w:rStyle w:val="Hyperlink"/>
          </w:rPr>
          <w:t xml:space="preserve">http://www.ctax.org.cn/csyw/201806/t20180615_1077583.shtml</w:t>
        </w:r>
      </w:hyperlink>
    </w:p>
    <w:p>
      <w:pPr>
        <w:pStyle w:val="Heading3"/>
      </w:pPr>
      <w:bookmarkStart w:id="36" w:name="财政部解读个人所得税法修正案草案"/>
      <w:r>
        <w:t xml:space="preserve">财政部解读个人所得税法修正案草案</w:t>
      </w:r>
      <w:bookmarkEnd w:id="36"/>
    </w:p>
    <w:p>
      <w:pPr>
        <w:pStyle w:val="FirstParagraph"/>
      </w:pPr>
      <w:r>
        <w:t xml:space="preserve">备受关注的个人所得税法修正案草案近日提请十三届全国人大常委会第三次会议审议，财政部部长刘昆对《中华人民共和国个人所得税法修正案（草案）》作说明。</w:t>
      </w:r>
    </w:p>
    <w:p>
      <w:pPr>
        <w:pStyle w:val="TextBody"/>
      </w:pPr>
      <w:r>
        <w:t xml:space="preserve">刘昆指出，按照现行个人所得税法，工资、薪金所得的基本减除费用标准为3500元/月，劳务报酬所得、稿酬所得、特许权使用费所得，每次收入不超过4000元的，减除费用800元；4000元以上的，减除20%的费用。草案将上述综合所得的基本减除费用标准提高到5000元/月（6万元/年）。这一标准综合考虑了人民群众消费支出水平增长等各方面因素，并体现了一定前瞻性。按此标准并结合税率结构调整测算，取得工资、薪金等综合所得的纳税人，总体上税负都有不同程度下降，特别是中等以下收入群体税负下降明显，有利于增加居民收入、增强消费能力。</w:t>
      </w:r>
    </w:p>
    <w:p>
      <w:pPr>
        <w:pStyle w:val="TextBody"/>
      </w:pPr>
      <w:hyperlink r:id="rId37">
        <w:r>
          <w:rPr>
            <w:rStyle w:val="Hyperlink"/>
          </w:rPr>
          <w:t xml:space="preserve">http://news.cnstock.com/news,bwkx-201806-4235695.htm</w:t>
        </w:r>
      </w:hyperlink>
    </w:p>
    <w:p>
      <w:pPr>
        <w:pStyle w:val="Heading2"/>
      </w:pPr>
      <w:bookmarkStart w:id="38" w:name="行业"/>
      <w:r>
        <w:t xml:space="preserve">行业</w:t>
      </w:r>
      <w:bookmarkEnd w:id="38"/>
    </w:p>
    <w:p>
      <w:pPr>
        <w:pStyle w:val="Heading3"/>
      </w:pPr>
      <w:bookmarkStart w:id="39" w:name="交通运输部国家发展改革委联合印发通知放开港口部分收费实行市场调节"/>
      <w:r>
        <w:t xml:space="preserve">交通运输部、国家发展改革委联合印发通知放开港口部分收费，实行市场调节</w:t>
      </w:r>
      <w:bookmarkEnd w:id="39"/>
    </w:p>
    <w:p>
      <w:pPr>
        <w:pStyle w:val="FirstParagraph"/>
      </w:pPr>
      <w:r>
        <w:t xml:space="preserve">近日，交通运输部、国家发展改革委联合印发《关于进一步放开港口部分收费等有关事项的通知》（以下简称《通知》），2018年6月20日起，放开沿海、长江干线主要港口及其他所有对外开放港口部分收费，实行市场调节，同时规范船舶护航和监护使用拖轮收费，进一步规范港口收费，促进港口行业高质量发展。</w:t>
      </w:r>
    </w:p>
    <w:p>
      <w:pPr>
        <w:pStyle w:val="TextBody"/>
      </w:pPr>
      <w:r>
        <w:t xml:space="preserve">据《通知》，放开驳船取送费和特殊平舱费，实行市场调节，纳入港口作业包干费计费范围，由提供服务的港口经营人与船方、货方或其代理人协商确定收费标准。港口经营人不得在港口作业包干费以外对驳船取送、特殊平舱作业单设项目收费。另外，液化天然气船舶在港区内航行，按照液化天然气船舶安全作业标准规范等要求必须使用拖轮进行护航的，拖轮费按《港口收费计费办法》有关规定执行；其他船舶在港区内航行，自愿申请使用拖轮进行护航的，拖轮费由船方或其代理人与拖轮服务提供方协商确定。</w:t>
      </w:r>
    </w:p>
    <w:p>
      <w:pPr>
        <w:pStyle w:val="TextBody"/>
      </w:pPr>
      <w:hyperlink r:id="rId40">
        <w:r>
          <w:rPr>
            <w:rStyle w:val="Hyperlink"/>
          </w:rPr>
          <w:t xml:space="preserve">http://finance.sina.com.cn/roll/2018-06-20/doc-ihefphqk0468036.shtml</w:t>
        </w:r>
      </w:hyperlink>
    </w:p>
    <w:p>
      <w:pPr>
        <w:pStyle w:val="Heading3"/>
      </w:pPr>
      <w:bookmarkStart w:id="41" w:name="电子商务法草案搭售不得默认同意"/>
      <w:r>
        <w:t xml:space="preserve">电子商务法草案：搭售不得默认同意</w:t>
      </w:r>
      <w:bookmarkEnd w:id="41"/>
    </w:p>
    <w:p>
      <w:pPr>
        <w:pStyle w:val="FirstParagraph"/>
      </w:pPr>
      <w:r>
        <w:t xml:space="preserve">近日，中国第一部电商领域综合性法律《电子商务法（草案）》第三次提请人大常委会审议。草案三审稿规定，在搭售商品或者服务时，应当以显著方式提请消费者注意，不得将搭售商品或者服务作为默认同意的选项。同时，电子商务经营者按照约定向消费者收取押金的，应当明示押金退还的方式、程序，不得对押金退还设置不合理条件。消费者申请退还押金，符合押金退还条件的，电子商务经营者应当及时退还。</w:t>
      </w:r>
    </w:p>
    <w:p>
      <w:pPr>
        <w:pStyle w:val="TextBody"/>
      </w:pPr>
      <w:r>
        <w:t xml:space="preserve">从电商平台下单情况来看，即使是赠品，电商平台和品牌商均会对消费者进行提醒。当平台需要消费者再支付一定金额购买商品时，会有自动提醒界面弹出。但值得注意的是，在众多服务类电商中，消费者下单后平台会搭售保险等服务，消费者需要自行取消勾选，才可以确保没有购买搭售的服务。此前，多家平台存在“默认勾选”的方式，搭售相关的商品或者服务。举例来讲，一些网络平台订购机票、火车票时，通过“默认勾选”搭售保险。平台还会通过“默认勾选”，向消费者推送搭售机场贵宾室休息、接送机等服务。针对上述行为，草案三审稿宣告“默认勾选”搭售商品或服务的行为系非法。</w:t>
      </w:r>
    </w:p>
    <w:p>
      <w:pPr>
        <w:pStyle w:val="TextBody"/>
      </w:pPr>
      <w:hyperlink r:id="rId42">
        <w:r>
          <w:rPr>
            <w:rStyle w:val="Hyperlink"/>
          </w:rPr>
          <w:t xml:space="preserve">http://www.chinaforex.com.cn/index.php/cms/item-view-id-46961.shtml</w:t>
        </w:r>
      </w:hyperlink>
    </w:p>
    <w:p>
      <w:pPr>
        <w:pStyle w:val="Heading3"/>
      </w:pPr>
      <w:bookmarkStart w:id="43" w:name="上海自贸区推扩大金融开放25条"/>
      <w:r>
        <w:t xml:space="preserve">上海自贸区推扩大金融开放25条</w:t>
      </w:r>
      <w:bookmarkEnd w:id="43"/>
    </w:p>
    <w:p>
      <w:pPr>
        <w:pStyle w:val="FirstParagraph"/>
      </w:pPr>
      <w:r>
        <w:t xml:space="preserve">《中国（上海）自由贸易试验区关于扩大金融服务业对外开放进一步形成开发开放新优势的意见》（以下简称《意见》）近日发布，《意见》包括25条扩大金融业对外开放的重大举措，将推动上海国际金融中心与上海自贸区建设联动，将自贸区打造成为扩大金融开放的新高地。</w:t>
      </w:r>
    </w:p>
    <w:p>
      <w:pPr>
        <w:pStyle w:val="TextBody"/>
      </w:pPr>
      <w:r>
        <w:t xml:space="preserve">《意见》涵盖了吸引外资金融机构集聚、便利外资金融机构落户、全面深化金融改革创新、金融服务科创中心建设、集聚发展高层次金融人才、构建与国际规则接轨的金融法治环境等六个方面，体现了上海自贸区在扩大金融开放中的“试验田”作用，为主动承接国家金融服务业开放重大举措落地，加强上海国际金融中心与自贸区建设联动提供有力的支持和保障。《意见》提出，上海自贸区将实施吸引外资金融机构集聚的新政策，在银行业、证券业、保险业等方面进一步扩大对外开放。 其中包括支持外资银行扩大业务范围；支持设立外资控股的证券公司、基金管理公司、期货公司；支持管理规模靠前、投资理念先进、投资经验丰富的跨国资管在自贸区设立外资资管区域总部。</w:t>
      </w:r>
    </w:p>
    <w:p>
      <w:pPr>
        <w:pStyle w:val="TextBody"/>
      </w:pPr>
      <w:hyperlink r:id="rId44">
        <w:r>
          <w:rPr>
            <w:rStyle w:val="Hyperlink"/>
          </w:rPr>
          <w:t xml:space="preserve">http://news.sina.com.cn/c/2018-06-22/doc-ihefphqm3604170.shtml</w:t>
        </w:r>
      </w:hyperlink>
    </w:p>
    <w:p>
      <w:pPr>
        <w:pStyle w:val="Heading2"/>
      </w:pPr>
      <w:bookmarkStart w:id="45" w:name="并购"/>
      <w:r>
        <w:t xml:space="preserve">并购</w:t>
      </w:r>
      <w:bookmarkEnd w:id="45"/>
    </w:p>
    <w:p>
      <w:pPr>
        <w:pStyle w:val="Heading3"/>
      </w:pPr>
      <w:bookmarkStart w:id="46" w:name="万邦德拟出价近34亿收购万邦德制药"/>
      <w:r>
        <w:t xml:space="preserve">万邦德拟出价近34亿收购万邦德制药</w:t>
      </w:r>
      <w:bookmarkEnd w:id="46"/>
    </w:p>
    <w:p>
      <w:pPr>
        <w:pStyle w:val="FirstParagraph"/>
      </w:pPr>
      <w:r>
        <w:t xml:space="preserve">近日，万邦德发布公告称，公司拟以12.55元/股的发行价格，向控股股东万邦德集团、实际控制人赵守明、庄惠夫妇、九鼎投资、惠邦投资、江苏中茂、富邦投资、青岛同印信、南京金茂等交易对方发行2.71亿股，购买其合计持有的万邦德制药100%股份，交易价格为33.98亿元。</w:t>
      </w:r>
    </w:p>
    <w:p>
      <w:pPr>
        <w:pStyle w:val="TextBody"/>
      </w:pPr>
      <w:r>
        <w:t xml:space="preserve">公告显示，万邦德制药是以国家中药保护产品、国内独家生产的银杏叶滴丸为主导产品，主营业务为现代中药、化学原料药及化学制剂的研发、生产和销售，拥有完善的药品研发、生产和销售体系，具有从中药提取、原料药合成到各类剂型制剂生产的完整产业链，尤其在心脑血管和神经系统重大疾病领域的天然植物药研究与应用方面特色鲜明、优势明显。 公司表示，本次交易完成后，万邦德制药将成为上市公司的全资子公司，公司注入拥有一定竞争优势、具有盈利能力的现代中药、化学原料药及化学制剂的研发、生产和销售业务，并以此为契机，进一步完成对“医疗健康领域”的产业战略布局，与已有医疗器械业务相互促进，形成多元并进发展的格局，从而推动上市公司未来持续盈利能力。</w:t>
      </w:r>
    </w:p>
    <w:p>
      <w:pPr>
        <w:pStyle w:val="TextBody"/>
      </w:pPr>
      <w:hyperlink r:id="rId47">
        <w:r>
          <w:rPr>
            <w:rStyle w:val="Hyperlink"/>
          </w:rPr>
          <w:t xml:space="preserve">http://company.stcn.com/2018/0615/14322381.shtml</w:t>
        </w:r>
      </w:hyperlink>
    </w:p>
    <w:p>
      <w:pPr>
        <w:pStyle w:val="Heading3"/>
      </w:pPr>
      <w:bookmarkStart w:id="48" w:name="华西能源拟收购唐山境界57股权"/>
      <w:r>
        <w:t xml:space="preserve">华西能源拟收购唐山境界57%股权</w:t>
      </w:r>
      <w:bookmarkEnd w:id="48"/>
    </w:p>
    <w:p>
      <w:pPr>
        <w:pStyle w:val="FirstParagraph"/>
      </w:pPr>
      <w:r>
        <w:t xml:space="preserve">2018年6月19日下午，开市起临时停牌的华西能源在晚间披露了重大资产重组标的，公司拟发行股份并配套募集资金的方式收购唐山境界实业有限公司57%的股权。</w:t>
      </w:r>
    </w:p>
    <w:p>
      <w:pPr>
        <w:pStyle w:val="TextBody"/>
      </w:pPr>
      <w:r>
        <w:t xml:space="preserve">根据公告，本次股权转让的唐山境界全部股东权益的初评评估值为不超过66亿元，因此，华西能源所购买的目标公司57%的股权的评估值为不超过37.62亿元。值得注意的是，唐山境界曾是西部创业的并购标的，最终因为估值等原因未能成行。据悉，唐山境界是一家从事环保型高清洁能源研发、生产及销售的公司，主营业务甲醇制稳定轻烃、均四甲苯混合液、LPG业务及上述产品的深加工。</w:t>
      </w:r>
    </w:p>
    <w:p>
      <w:pPr>
        <w:pStyle w:val="TextBody"/>
      </w:pPr>
      <w:hyperlink r:id="rId49">
        <w:r>
          <w:rPr>
            <w:rStyle w:val="Hyperlink"/>
          </w:rPr>
          <w:t xml:space="preserve">http://company.stcn.com/2018/0620/14329189.shtml</w:t>
        </w:r>
      </w:hyperlink>
    </w:p>
    <w:p>
      <w:pPr>
        <w:pStyle w:val="Heading3"/>
      </w:pPr>
      <w:bookmarkStart w:id="50" w:name="茂业商业拟收购女装设计企业"/>
      <w:r>
        <w:t xml:space="preserve">茂业商业拟收购女装设计企业</w:t>
      </w:r>
      <w:bookmarkEnd w:id="50"/>
    </w:p>
    <w:p>
      <w:pPr>
        <w:pStyle w:val="FirstParagraph"/>
      </w:pPr>
      <w:r>
        <w:t xml:space="preserve">茂业商业于2018年6月18日晚公告，公司拟以交易总价款人民币2.18亿元，收购韩红卫等15位股东所持有的优依购共计38.2428%的股份。交易完成后，茂业商业将成为优依购的第一大股东。资料显示，优依购2016年7月在新三板挂牌，今年5月17日起终止其股票挂牌。</w:t>
      </w:r>
    </w:p>
    <w:p>
      <w:pPr>
        <w:pStyle w:val="TextBody"/>
      </w:pPr>
      <w:r>
        <w:t xml:space="preserve">公告显示，优依购是一家以大数据应用分析能力为支撑的时尚女装设计与销售公司，旗下拥有时尚女装品牌UGOCCAM和Fleur Wood。公司采用轻资产运营模式，将生产环节外包。经审计的2017年营收为1.01亿元，净利润为2567万元。茂业商业表示，通过收购优依购的股权，上市公司可以借鉴深圳优依购线上运营及新零售的经验，进一步打通公司的线上线下渠道，运用沉淀的大数据技术构建公司的精准营销体系，提升公司盈利能力。</w:t>
      </w:r>
    </w:p>
    <w:p>
      <w:pPr>
        <w:pStyle w:val="TextBody"/>
      </w:pPr>
      <w:hyperlink r:id="rId51">
        <w:r>
          <w:rPr>
            <w:rStyle w:val="Hyperlink"/>
          </w:rPr>
          <w:t xml:space="preserve">http://company.stcn.com/2018/0619/14326171.shtml</w:t>
        </w:r>
      </w:hyperlink>
    </w:p>
    <w:p>
      <w:pPr>
        <w:pStyle w:val="Heading3"/>
      </w:pPr>
      <w:bookmarkStart w:id="52" w:name="金莱特拟3.5亿收购福玛特机器人"/>
      <w:r>
        <w:t xml:space="preserve">金莱特拟3.5亿收购福玛特机器人</w:t>
      </w:r>
      <w:bookmarkEnd w:id="52"/>
    </w:p>
    <w:p>
      <w:pPr>
        <w:pStyle w:val="FirstParagraph"/>
      </w:pPr>
      <w:r>
        <w:t xml:space="preserve">金莱特近日晚间公告，公司当日与福玛特机器人科技股份有限公司董事长宋红丽签署了《重大资产重组意向性协议》，拟收购该公司100%股权，交易对价预计为35000万元人民币。</w:t>
      </w:r>
    </w:p>
    <w:p>
      <w:pPr>
        <w:pStyle w:val="TextBody"/>
      </w:pPr>
      <w:r>
        <w:t xml:space="preserve">据介绍，福玛特机器人公司致力于家用智能服务机器人的自主研发设计与销售，主营产品主要包括超声波清洗机、除螨机、扫地机和机器人。公告称，本次拟以发行股份及/或支付现金的方式进行收购，可以丰富公司产品线，增加新的利润增长点，属正在筹划的重大资产重组事项，公司股票申请自2018年6月15日开市起停牌。</w:t>
      </w:r>
    </w:p>
    <w:p>
      <w:pPr>
        <w:pStyle w:val="TextBody"/>
      </w:pPr>
      <w:hyperlink r:id="rId53">
        <w:r>
          <w:rPr>
            <w:rStyle w:val="Hyperlink"/>
          </w:rPr>
          <w:t xml:space="preserve">http://ggjd.cnstock.com/company/scp_ggjd/tjd_bbdj/201806/4234755.htm</w:t>
        </w:r>
      </w:hyperlink>
    </w:p>
    <w:p>
      <w:pPr>
        <w:pStyle w:val="Heading3"/>
      </w:pPr>
      <w:bookmarkStart w:id="54" w:name="通源石油签订收购合创源100股权框架协议"/>
      <w:r>
        <w:t xml:space="preserve">通源石油签订收购合创源100%股权框架协议</w:t>
      </w:r>
      <w:bookmarkEnd w:id="54"/>
    </w:p>
    <w:p>
      <w:pPr>
        <w:pStyle w:val="FirstParagraph"/>
      </w:pPr>
      <w:r>
        <w:t xml:space="preserve">通源石油近日晚间公告，公司与深圳东证通源海外石油产业投资基金合伙企业（有限合伙）签订《股权转让框架协议》，公司拟以现金收购深圳合创源石油技术发展有限公司（以下简称“合创源”）100%股权，从而间接取得The WirelineGroup, LLC. （以下简称“TWG”）少数股权。</w:t>
      </w:r>
    </w:p>
    <w:p>
      <w:pPr>
        <w:pStyle w:val="TextBody"/>
      </w:pPr>
      <w:r>
        <w:t xml:space="preserve">据悉，截至目前，合创源通过美国子公司 PetroNet Inc.，持有 TWG 33.96%的股权。公司表示，本次收购 TWG 少数股权完成后，公司持有 TWG 的股权比例由55.26%提升至89.22%，将能更好地获得本次油价上涨和美国业务量增长带来的收益，同时，进一步巩固公司射孔业务全球化的战略布局，为后续公司在北美地区乃至全球发展奠定基础，有利于公司的长远发展。</w:t>
      </w:r>
    </w:p>
    <w:p>
      <w:pPr>
        <w:pStyle w:val="TextBody"/>
      </w:pPr>
      <w:hyperlink r:id="rId55">
        <w:r>
          <w:rPr>
            <w:rStyle w:val="Hyperlink"/>
          </w:rPr>
          <w:t xml:space="preserve">http://ggjd.cnstock.com/company/scp_ggjd/tjd_ggkx/201806/4236261.htm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- 2018年6月25日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627c7c9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7" Type="http://schemas.openxmlformats.org/officeDocument/2006/relationships/hyperlink" Target="http://company.stcn.com/2018/0615/14322381.shtml" TargetMode="External"/><Relationship Id="rId51" Type="http://schemas.openxmlformats.org/officeDocument/2006/relationships/hyperlink" Target="http://company.stcn.com/2018/0619/14326171.shtml" TargetMode="External"/><Relationship Id="rId49" Type="http://schemas.openxmlformats.org/officeDocument/2006/relationships/hyperlink" Target="http://company.stcn.com/2018/0620/14329189.shtml" TargetMode="External"/><Relationship Id="rId40" Type="http://schemas.openxmlformats.org/officeDocument/2006/relationships/hyperlink" Target="http://finance.sina.com.cn/roll/2018-06-20/doc-ihefphqk0468036.shtml" TargetMode="External"/><Relationship Id="rId53" Type="http://schemas.openxmlformats.org/officeDocument/2006/relationships/hyperlink" Target="http://ggjd.cnstock.com/company/scp_ggjd/tjd_bbdj/201806/4234755.htm" TargetMode="External"/><Relationship Id="rId55" Type="http://schemas.openxmlformats.org/officeDocument/2006/relationships/hyperlink" Target="http://ggjd.cnstock.com/company/scp_ggjd/tjd_ggkx/201806/4236261.htm" TargetMode="External"/><Relationship Id="rId25" Type="http://schemas.openxmlformats.org/officeDocument/2006/relationships/hyperlink" Target="http://news.cnstock.com/news,bwkx-201806-4235211.htm" TargetMode="External"/><Relationship Id="rId23" Type="http://schemas.openxmlformats.org/officeDocument/2006/relationships/hyperlink" Target="http://news.cnstock.com/news,bwkx-201806-4235299.htm" TargetMode="External"/><Relationship Id="rId37" Type="http://schemas.openxmlformats.org/officeDocument/2006/relationships/hyperlink" Target="http://news.cnstock.com/news,bwkx-201806-4235695.htm" TargetMode="External"/><Relationship Id="rId44" Type="http://schemas.openxmlformats.org/officeDocument/2006/relationships/hyperlink" Target="http://news.sina.com.cn/c/2018-06-22/doc-ihefphqm3604170.shtml" TargetMode="External"/><Relationship Id="rId42" Type="http://schemas.openxmlformats.org/officeDocument/2006/relationships/hyperlink" Target="http://www.chinaforex.com.cn/index.php/cms/item-view-id-46961.shtml" TargetMode="External"/><Relationship Id="rId35" Type="http://schemas.openxmlformats.org/officeDocument/2006/relationships/hyperlink" Target="http://www.ctax.org.cn/csyw/201806/t20180615_1077583.shtml" TargetMode="External"/><Relationship Id="rId29" Type="http://schemas.openxmlformats.org/officeDocument/2006/relationships/hyperlink" Target="http://www.xinhuanet.com/fortune/2018-06/16/c_1122995710.htm" TargetMode="External"/><Relationship Id="rId27" Type="http://schemas.openxmlformats.org/officeDocument/2006/relationships/hyperlink" Target="http://www.xinhuanet.com/money/2018-06/19/c_129896406.htm" TargetMode="External"/><Relationship Id="rId32" Type="http://schemas.openxmlformats.org/officeDocument/2006/relationships/hyperlink" Target="http://xw.sinoins.com/2018-06/20/content_264202.htm" TargetMode="External"/><Relationship Id="rId9" Type="http://schemas.openxmlformats.org/officeDocument/2006/relationships/hyperlink" Target="http://www.charltonslaw.com.cn/zhong-guo-zheng-jian-hui-hui-tong-yin-bao-jian-hui-lian-he-fa-bu-guan-yu-shang-ye-yin-hang-dan-ren-cun-tuo-ping-zheng-shi-dian-cun-tuo-ren-you-guan-shi-xiang-gui-ding-bing-xiu-ding-fa-bu-you-guan-gui-zhang-ji-gui-fan-xing-wen-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7" Type="http://schemas.openxmlformats.org/officeDocument/2006/relationships/hyperlink" Target="http://company.stcn.com/2018/0615/14322381.shtml" TargetMode="External"/><Relationship Id="rId51" Type="http://schemas.openxmlformats.org/officeDocument/2006/relationships/hyperlink" Target="http://company.stcn.com/2018/0619/14326171.shtml" TargetMode="External"/><Relationship Id="rId49" Type="http://schemas.openxmlformats.org/officeDocument/2006/relationships/hyperlink" Target="http://company.stcn.com/2018/0620/14329189.shtml" TargetMode="External"/><Relationship Id="rId40" Type="http://schemas.openxmlformats.org/officeDocument/2006/relationships/hyperlink" Target="http://finance.sina.com.cn/roll/2018-06-20/doc-ihefphqk0468036.shtml" TargetMode="External"/><Relationship Id="rId53" Type="http://schemas.openxmlformats.org/officeDocument/2006/relationships/hyperlink" Target="http://ggjd.cnstock.com/company/scp_ggjd/tjd_bbdj/201806/4234755.htm" TargetMode="External"/><Relationship Id="rId55" Type="http://schemas.openxmlformats.org/officeDocument/2006/relationships/hyperlink" Target="http://ggjd.cnstock.com/company/scp_ggjd/tjd_ggkx/201806/4236261.htm" TargetMode="External"/><Relationship Id="rId25" Type="http://schemas.openxmlformats.org/officeDocument/2006/relationships/hyperlink" Target="http://news.cnstock.com/news,bwkx-201806-4235211.htm" TargetMode="External"/><Relationship Id="rId23" Type="http://schemas.openxmlformats.org/officeDocument/2006/relationships/hyperlink" Target="http://news.cnstock.com/news,bwkx-201806-4235299.htm" TargetMode="External"/><Relationship Id="rId37" Type="http://schemas.openxmlformats.org/officeDocument/2006/relationships/hyperlink" Target="http://news.cnstock.com/news,bwkx-201806-4235695.htm" TargetMode="External"/><Relationship Id="rId44" Type="http://schemas.openxmlformats.org/officeDocument/2006/relationships/hyperlink" Target="http://news.sina.com.cn/c/2018-06-22/doc-ihefphqm3604170.shtml" TargetMode="External"/><Relationship Id="rId42" Type="http://schemas.openxmlformats.org/officeDocument/2006/relationships/hyperlink" Target="http://www.chinaforex.com.cn/index.php/cms/item-view-id-46961.shtml" TargetMode="External"/><Relationship Id="rId35" Type="http://schemas.openxmlformats.org/officeDocument/2006/relationships/hyperlink" Target="http://www.ctax.org.cn/csyw/201806/t20180615_1077583.shtml" TargetMode="External"/><Relationship Id="rId29" Type="http://schemas.openxmlformats.org/officeDocument/2006/relationships/hyperlink" Target="http://www.xinhuanet.com/fortune/2018-06/16/c_1122995710.htm" TargetMode="External"/><Relationship Id="rId27" Type="http://schemas.openxmlformats.org/officeDocument/2006/relationships/hyperlink" Target="http://www.xinhuanet.com/money/2018-06/19/c_129896406.htm" TargetMode="External"/><Relationship Id="rId32" Type="http://schemas.openxmlformats.org/officeDocument/2006/relationships/hyperlink" Target="http://xw.sinoins.com/2018-06/20/content_2642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2018-06-25T04:43:35Z</dcterms:created>
  <dcterms:modified xsi:type="dcterms:W3CDTF">2018-06-25T04:43:35Z</dcterms:modified>
</cp:coreProperties>
</file>