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- 2018年6月30日</w:t>
      </w:r>
    </w:p>
    <w:p>
      <w:pPr>
        <w:pStyle w:val="ReadOnline"/>
      </w:pPr>
      <w:hyperlink r:id="rId9">
        <w:r>
          <w:rPr/>
          <w:t>online version</w:t>
        </w:r>
      </w:hyperlink>
    </w:p>
    <w:p>
      <w:pPr>
        <w:pStyle w:val="Title"/>
      </w:pPr>
      <w:r>
        <w:t>中国人民银行等五部门联合发文，综合施策破解“小微”融资难题</w:t>
      </w:r>
    </w:p>
    <w:p>
      <w:pPr>
        <w:pStyle w:val="Heading2"/>
      </w:pPr>
      <w:bookmarkStart w:id="21" w:name="资本市场"/>
      <w:r>
        <w:t xml:space="preserve">资本市场</w:t>
      </w:r>
      <w:bookmarkEnd w:id="21"/>
    </w:p>
    <w:p>
      <w:pPr>
        <w:pStyle w:val="Heading3"/>
      </w:pPr>
      <w:bookmarkStart w:id="22" w:name="中国人民银行等五部门联合发文综合施策破解小微融资难题"/>
      <w:r>
        <w:t xml:space="preserve">中国人民银行等五部门联合发文，综合施策破解“小微”融资难题</w:t>
      </w:r>
      <w:bookmarkEnd w:id="22"/>
    </w:p>
    <w:p>
      <w:pPr>
        <w:pStyle w:val="FirstParagraph"/>
      </w:pPr>
      <w:r>
        <w:t xml:space="preserve">近日，中国人民银行等五部门联合印发《关于进一步深化小微企业金融服务的意见》（以下简称《意见》），从货币政策、监管考核、内部管理、财税激励、优化环境等方面提出23条具体措施，督促和引导金融机构加大对小微企业的金融支持力度，缓解小微企业融资难融资贵，切实降低企业成本，促进经济转型升级和新旧动能转换。</w:t>
      </w:r>
    </w:p>
    <w:p>
      <w:pPr>
        <w:pStyle w:val="TextBody"/>
      </w:pPr>
      <w:r>
        <w:t xml:space="preserve">当前，我国有小微企业法人约2800万户，个体工商户约6200万户，在承载创新、创业、保障就业等民生方面发挥着至关重要的作用。但小微企业不同程度地面临着融资难融资贵的问题，制约了发展。对此，《意见》综合施策，力求达到预期效果。《意见》提出加大货币政策支持力度，引导金融机构聚焦单户授信500万元及以下小微企业信贷投放。一是增加支小支农再贷款和再贴现额度共1500亿元，下调支小再贷款利率0.5个百分点。二是完善小微企业金融债券发行管理，支持银行业金融机构发行小微企业贷款资产支持证券，盘活信贷资源1000亿元以上。三是将单户授信500万元及以下的小微企业贷款纳入中期借贷便利（MLF）的合格抵押品范围。</w:t>
      </w:r>
    </w:p>
    <w:p>
      <w:pPr>
        <w:pStyle w:val="TextBody"/>
      </w:pPr>
      <w:hyperlink r:id="rId23">
        <w:r>
          <w:rPr>
            <w:rStyle w:val="Hyperlink"/>
          </w:rPr>
          <w:t xml:space="preserve">http://news.jcrb.com/jxsw/201806/t20180626_1879473.html</w:t>
        </w:r>
      </w:hyperlink>
    </w:p>
    <w:p>
      <w:pPr>
        <w:pStyle w:val="Heading3"/>
      </w:pPr>
      <w:bookmarkStart w:id="24" w:name="全国首单棚改专项债券在上海证券交易所成功招标发行"/>
      <w:r>
        <w:t xml:space="preserve">全国首单棚改专项债券在上海证券交易所成功招标发行</w:t>
      </w:r>
      <w:bookmarkEnd w:id="24"/>
    </w:p>
    <w:p>
      <w:pPr>
        <w:pStyle w:val="FirstParagraph"/>
      </w:pPr>
      <w:r>
        <w:t xml:space="preserve">近日，2018年天津市红桥区棚户区改造专项债券（一期）通过财政部上海证券交易所政府债券发行系统成功发行，标志着自财政部、住房城乡建设部联合印发《关于印发〈试点发行地方政府棚户区改造专项债券管理办法〉的通知》以来，全国首单棚改专项债正式落地。</w:t>
      </w:r>
    </w:p>
    <w:p>
      <w:pPr>
        <w:pStyle w:val="TextBody"/>
      </w:pPr>
      <w:r>
        <w:t xml:space="preserve">本期棚户区改造专项债券，对应项目为天津市西沽南片区棚户区改造项目和天津市红桥区西于庄地区棚户区改造项目，期限5年，预计融资规模为108亿元，本期发行规模15亿元，未来偿债资金主要来源于土地出让收入。根据项目融资计划、建设情况等进行测算，预计土地出让收入对项目总融资成本的覆盖倍数为1.52，项目自求平衡情况较为良好。 从发行情况来看，本期债券全场认购倍数达2.69倍，券商合计投标量15.5亿元，票面利率3.88%，低于同场发行的同期限普通专项债券22BP。</w:t>
      </w:r>
    </w:p>
    <w:p>
      <w:pPr>
        <w:pStyle w:val="TextBody"/>
      </w:pPr>
      <w:hyperlink r:id="rId25">
        <w:r>
          <w:rPr>
            <w:rStyle w:val="Hyperlink"/>
          </w:rPr>
          <w:t xml:space="preserve">http://www.sse.com.cn/aboutus/mediacenter/hotandd/c/c_20180620_4576180.shtml</w:t>
        </w:r>
      </w:hyperlink>
    </w:p>
    <w:p>
      <w:pPr>
        <w:pStyle w:val="Heading3"/>
      </w:pPr>
      <w:bookmarkStart w:id="26" w:name="msci将沙特和阿根廷纳入新兴市场指数"/>
      <w:r>
        <w:t xml:space="preserve">MSCI将沙特和阿根廷纳入新兴市场指数</w:t>
      </w:r>
      <w:bookmarkEnd w:id="26"/>
    </w:p>
    <w:p>
      <w:pPr>
        <w:pStyle w:val="FirstParagraph"/>
      </w:pPr>
      <w:r>
        <w:t xml:space="preserve">近日，指数提供商MSCI周三表示，将把阿根廷重新升级至新兴市场地位，并将沙特也纳入其新兴市场指数，此举正值沙特国有石油公司沙特阿美（Aramco）准备公开上市之际，这可能是有史以来规模最大的IPO。</w:t>
      </w:r>
    </w:p>
    <w:p>
      <w:pPr>
        <w:pStyle w:val="TextBody"/>
      </w:pPr>
      <w:r>
        <w:t xml:space="preserve">MSCI去年6月宣布将沙特列入可能归类为新兴市场的观察名单。该公司周三表示，沙特股指将于2019年6月正式加入MSCI新兴市场指数。该指数目前包括中国、印度、土耳其、南非和巴西等国股市。分析师预计，MSCI此举将为沙特股市吸引来自全球基金经理数十亿美元的投资。这将帮助提升该市场的流动性。沙特阿拉伯是中东最大的股票市场，市值超过4000亿美元；沙特监管机构和交易所过去两年来一直在改进市场规则，以吸引外国投资者并进入新兴市场指数。</w:t>
      </w:r>
    </w:p>
    <w:p>
      <w:pPr>
        <w:pStyle w:val="TextBody"/>
      </w:pPr>
      <w:hyperlink r:id="rId27">
        <w:r>
          <w:rPr>
            <w:rStyle w:val="Hyperlink"/>
          </w:rPr>
          <w:t xml:space="preserve">http://www.chinaforex.com.cn/index.php/cms/item-view-id-46964.shtml</w:t>
        </w:r>
      </w:hyperlink>
    </w:p>
    <w:p>
      <w:pPr>
        <w:pStyle w:val="Heading3"/>
      </w:pPr>
      <w:bookmarkStart w:id="28" w:name="国家发展改革委财政部联合发文限制房地产企业外债资金投资境内外房地产项目"/>
      <w:r>
        <w:t xml:space="preserve">国家发展改革委、财政部联合发文限制房地产企业外债资金投资境内外房地产项目</w:t>
      </w:r>
      <w:bookmarkEnd w:id="28"/>
    </w:p>
    <w:p>
      <w:pPr>
        <w:pStyle w:val="FirstParagraph"/>
      </w:pPr>
      <w:r>
        <w:t xml:space="preserve">为切实有效防范外债风险和地方政府隐性债务风险，守住不发生系统性风险的底线，近日，国家发展改革委、财政部联合印发了《关于完善市场约束机制严格防范外债风险和地方债务风险的通知》。</w:t>
      </w:r>
    </w:p>
    <w:p>
      <w:pPr>
        <w:pStyle w:val="TextBody"/>
      </w:pPr>
      <w:r>
        <w:t xml:space="preserve">国家发展改革委有关负责人说，近两年部分企业尤其是房地产、地方政府融资平台等企业外债发行规模有所增加。这些企业评级情况参差不齐，有的经营收入和利润不高，自身实力有限，但申请备案登记的外债规模偏大，动辄五六亿美元，甚至高达数十亿美元，申请发债规模与自身实力不相匹配。有的缺乏以项目本身收入偿还贷款的能力。部分企业由于没有外汇收入来源，抵御汇率波动风险能力较弱。</w:t>
      </w:r>
    </w:p>
    <w:p>
      <w:pPr>
        <w:pStyle w:val="TextBody"/>
      </w:pPr>
      <w:hyperlink r:id="rId29">
        <w:r>
          <w:rPr>
            <w:rStyle w:val="Hyperlink"/>
          </w:rPr>
          <w:t xml:space="preserve">http://www.xinhuanet.com/fortune/2018-06/27/c_1123046367.htm</w:t>
        </w:r>
      </w:hyperlink>
    </w:p>
    <w:p>
      <w:pPr>
        <w:pStyle w:val="Heading2"/>
      </w:pPr>
      <w:bookmarkStart w:id="30" w:name="保险"/>
      <w:r>
        <w:t xml:space="preserve">保险</w:t>
      </w:r>
      <w:bookmarkEnd w:id="30"/>
    </w:p>
    <w:p>
      <w:pPr>
        <w:pStyle w:val="Heading3"/>
      </w:pPr>
      <w:bookmarkStart w:id="31" w:name="第三届中国互联网保险大会在京举办构建保险科技新生态探索高质量发展新路径"/>
      <w:r>
        <w:t xml:space="preserve">第三届中国互联网保险大会在京举办：构建保险科技新生态，探索高质量发展新路径</w:t>
      </w:r>
      <w:bookmarkEnd w:id="31"/>
    </w:p>
    <w:p>
      <w:pPr>
        <w:pStyle w:val="FirstParagraph"/>
      </w:pPr>
      <w:r>
        <w:t xml:space="preserve">2018年6月27日至28日，以“高质量发展新路径”为主题的第三届中国互联网保险大会在京举办，与会嘉宾围绕保险与科技相结合的多个层面进行了探讨，就如何运用新的科学技术发展互联网保险、进行科技创新；如何运用信息技术提升保险服务等话题发表观点，探讨科技如何赋能保险业以引发行业创新变革。</w:t>
      </w:r>
    </w:p>
    <w:p>
      <w:pPr>
        <w:pStyle w:val="TextBody"/>
      </w:pPr>
      <w:r>
        <w:t xml:space="preserve">中国保险行业协会首席金融市场专家俞平康认为，现在存在着保险的3个不平衡，包括供需总量不平衡、区域不平衡和结构不平衡。其中，结构不平衡是指寿险行业过度依赖利差，产险市场车险独大，保险资产配置仍然较为集中、投资收益率仍然有提升空间。解决总量不平衡的途径在于以社会日益增长的保险服务需求为导向，扩大保险有效供给。区域不平衡的解决方式可以发挥保险优势，助力精准扶贫，改善区域不平衡。而“互联网+”可以促进保险行业转型，互联网保险可以通过产品创新场景化、渠道多元化、服务优化的方式升级价值链，改善结构不平衡。</w:t>
      </w:r>
    </w:p>
    <w:p>
      <w:pPr>
        <w:pStyle w:val="TextBody"/>
      </w:pPr>
      <w:hyperlink r:id="rId32">
        <w:r>
          <w:rPr>
            <w:rStyle w:val="Hyperlink"/>
          </w:rPr>
          <w:t xml:space="preserve">http://xw.sinoins.com/2018-06/28/content_264935.htm</w:t>
        </w:r>
      </w:hyperlink>
    </w:p>
    <w:p>
      <w:pPr>
        <w:pStyle w:val="Heading2"/>
      </w:pPr>
      <w:bookmarkStart w:id="33" w:name="税收"/>
      <w:r>
        <w:t xml:space="preserve">税收</w:t>
      </w:r>
      <w:bookmarkEnd w:id="33"/>
    </w:p>
    <w:p>
      <w:pPr>
        <w:pStyle w:val="Heading3"/>
      </w:pPr>
      <w:bookmarkStart w:id="34" w:name="国家税务总局等部门联合印发通知治理影视行业天价片酬阴阳合同偷逃税等问题"/>
      <w:r>
        <w:t xml:space="preserve">国家税务总局等部门联合印发《通知》，治理影视行业天价片酬“阴阳合同”偷逃税等问题</w:t>
      </w:r>
      <w:bookmarkEnd w:id="34"/>
    </w:p>
    <w:p>
      <w:pPr>
        <w:pStyle w:val="FirstParagraph"/>
      </w:pPr>
      <w:r>
        <w:t xml:space="preserve">日前，中央宣传部、文化和旅游部、国家税务总局、国家广播电视总局、国家电影局等联合印发《通知》，要求加强对影视行业天价片酬、“阴阳合同”、偷逃税等问题的治理，控制不合理片酬，推进依法纳税，促进影视业健康发展。</w:t>
      </w:r>
    </w:p>
    <w:p>
      <w:pPr>
        <w:pStyle w:val="TextBody"/>
      </w:pPr>
      <w:r>
        <w:t xml:space="preserve">《通知》强调，要制定出台影视节目片酬执行标准，明确演员和节目嘉宾最高片酬限额，现阶段，严格落实已有规定，每部电影、电视剧、网络视听节目全部演员、嘉宾的总片酬不得超过制作总成本的40%，主要演员片酬不得超过总片酬的70%。影视行业主管部门要加强监管，对影视明星参与综艺娱乐节目、亲子类节目、真人秀节目等进行调控，严格执行网络视听节目审批制度，严格规范影视剧、网络视听节目片酬合同管理，加大对偷逃税行为的惩戒力度。电视台、影视制作机构、电影院线、互联网视听网站、民营影视发行放映公司，不得恶性竞争、哄抬价格购买播出影视节目，坚决纠正高价邀请明星、竞逐明星的不良现象。</w:t>
      </w:r>
    </w:p>
    <w:p>
      <w:pPr>
        <w:pStyle w:val="TextBody"/>
      </w:pPr>
      <w:hyperlink r:id="rId35">
        <w:r>
          <w:rPr>
            <w:rStyle w:val="Hyperlink"/>
          </w:rPr>
          <w:t xml:space="preserve">http://www.legaldaily.com.cn/index_article/content/2018-06/27/content_7579651.htm?node=5955</w:t>
        </w:r>
      </w:hyperlink>
    </w:p>
    <w:p>
      <w:pPr>
        <w:pStyle w:val="Heading3"/>
      </w:pPr>
      <w:bookmarkStart w:id="36" w:name="福建高院与税务机关协作助执行推进执法协作解决涉税问题"/>
      <w:r>
        <w:t xml:space="preserve">福建高院与税务机关协作助执行：推进执法协作，解决涉税问题</w:t>
      </w:r>
      <w:bookmarkEnd w:id="36"/>
    </w:p>
    <w:p>
      <w:pPr>
        <w:pStyle w:val="FirstParagraph"/>
      </w:pPr>
      <w:r>
        <w:t xml:space="preserve">日前，福建省高级人民法院与福建省税务机关联合下发《关于建立法院与税务机关执法协作机制工作方案》（以下简称《方案》），推进法院与税务机关执法协作，着力解决制约破产、执行转破产、执行财产变现工作中的涉税问题，进一步深化执行难综合治理大格局。</w:t>
      </w:r>
    </w:p>
    <w:p>
      <w:pPr>
        <w:pStyle w:val="TextBody"/>
      </w:pPr>
      <w:r>
        <w:t xml:space="preserve">《方案》对执行程序中处置被执行人财产产生相关税费问题的处理作出明确规定，要求税务机关应积极协助执行法院查明执行标的涉税情况，在收到协助执行通知书或调查令后的五个工作日内回复；执行法院在执行标的司法拍卖前请求税务机关按拍卖保留价预算交易税费的，税务机关应在收到协助执行通知书或调查令等文书后的七个工作日内回复；被执行人财产依法拍卖成交后，如需申请税务机关代开发票的，税务机关应在收到税（费）款后三个工作日内开具；税务机关在收到交易税款后，应当积极协助执行法院办理相关过户手续，不得以被执行人欠缴非本次交易环节的税费为由，拒绝办理过户手续。</w:t>
      </w:r>
    </w:p>
    <w:p>
      <w:pPr>
        <w:pStyle w:val="TextBody"/>
      </w:pPr>
      <w:hyperlink r:id="rId37">
        <w:r>
          <w:rPr>
            <w:rStyle w:val="Hyperlink"/>
          </w:rPr>
          <w:t xml:space="preserve">http://www.court.gov.cn/zixun-xiangqing-103322.html</w:t>
        </w:r>
      </w:hyperlink>
    </w:p>
    <w:p>
      <w:pPr>
        <w:pStyle w:val="Heading2"/>
      </w:pPr>
      <w:bookmarkStart w:id="38" w:name="行业"/>
      <w:r>
        <w:t xml:space="preserve">行业</w:t>
      </w:r>
      <w:bookmarkEnd w:id="38"/>
    </w:p>
    <w:p>
      <w:pPr>
        <w:pStyle w:val="Heading3"/>
      </w:pPr>
      <w:bookmarkStart w:id="39" w:name="七部委将在30城联合开展治理房地产市场乱象专项行动"/>
      <w:r>
        <w:t xml:space="preserve">七部委将在30城联合开展治理房地产市场乱象专项行动</w:t>
      </w:r>
      <w:bookmarkEnd w:id="39"/>
    </w:p>
    <w:p>
      <w:pPr>
        <w:pStyle w:val="FirstParagraph"/>
      </w:pPr>
      <w:r>
        <w:t xml:space="preserve">针对近期房地产市场乱象，为严厉打击侵害群众利益的违法违规行为，住房城乡建设部会同中宣部、公安部、司法部、税务总局、市场监管总局、银保监会等部委，近日联合印发了《关于在部分城市先行开展打击侵害群众利益违法违规行为 治理房地产市场乱象专项行动的通知》，决定于2018年7月初至12月底，在北京、上海等30个城市先行开展治理房地产市场乱象专项行动。</w:t>
      </w:r>
    </w:p>
    <w:p>
      <w:pPr>
        <w:pStyle w:val="TextBody"/>
      </w:pPr>
      <w:r>
        <w:t xml:space="preserve">本次专项行动的打击重点包括投机炒房、房地产“黑中介”、违法违规房地产开发企业和虚假房地产广告等四个方面：一是打击操纵房价房租、捂盘惜售、捏造散布虚假信息、制造抢房假象、哄抬房价、违规提供“首付贷”等投机炒房团伙；二是打击暴力驱逐承租人、捆绑收费、阴阳合同、强制提供代办服务、侵占客户资金、参与投机炒房的房地产“黑中介”；三是打击从事违规销售、变相加价、一房多卖、霸王条款、价格欺诈以及限制阻挠使用公积金的房地产开发企业；四是打击发布不实房源和价格信息、进行不实承诺等欺骗、误导购房人的虚假房地产广告。</w:t>
      </w:r>
    </w:p>
    <w:p>
      <w:pPr>
        <w:pStyle w:val="TextBody"/>
      </w:pPr>
      <w:hyperlink r:id="rId40">
        <w:r>
          <w:rPr>
            <w:rStyle w:val="Hyperlink"/>
          </w:rPr>
          <w:t xml:space="preserve">http://news.cnstock.com/news,bwkx-201806-4239405.htm</w:t>
        </w:r>
      </w:hyperlink>
    </w:p>
    <w:p>
      <w:pPr>
        <w:pStyle w:val="Heading3"/>
      </w:pPr>
      <w:bookmarkStart w:id="41" w:name="中华人民共和国船舶吨税法2018年7月1日起正式实施"/>
      <w:r>
        <w:t xml:space="preserve">《中华人民共和国船舶吨税法》2018年7月1日起正式实施</w:t>
      </w:r>
      <w:bookmarkEnd w:id="41"/>
    </w:p>
    <w:p>
      <w:pPr>
        <w:pStyle w:val="FirstParagraph"/>
      </w:pPr>
      <w:r>
        <w:t xml:space="preserve">《中华人民共和国船舶吨税法》（以下简称《吨税法》）将于2018年7月1日正式实施，海关将以推进船舶吨税申缴无纸化改革为抓手，在确保吨税法落实到位的同时，进一步压缩整体通关时间，促进贸易便利化。</w:t>
      </w:r>
    </w:p>
    <w:p>
      <w:pPr>
        <w:pStyle w:val="TextBody"/>
      </w:pPr>
      <w:r>
        <w:t xml:space="preserve">《吨税法》较以往有4处明显改进:一是确认了吨税执照电子信息的法律效力，为海关吨税申缴无纸化改革提供了法律支撑；二是明确了警用、改造船舶的免征吨税资格，保障了执法和民生需要；三是将多缴吨税的退税申请时间由一年延长为三年，更加符合进出境船舶的作业特点；四是明确了无法提供净吨位证明文件游艇的征税方式，提升了政策的可操作性。海关总署有关负责人表示，《吨税法》的组织实施，是海关总署落实上述要求的最新举措，将助力通关再提速。据测算，改革后企业申领船舶吨税执照时间将由原来的两三天缩短至数小时，基本实现了吨税申报、缴纳、执照领取等各环节一条龙服务的快速通关。</w:t>
      </w:r>
    </w:p>
    <w:p>
      <w:pPr>
        <w:pStyle w:val="TextBody"/>
      </w:pPr>
      <w:hyperlink r:id="rId42">
        <w:r>
          <w:rPr>
            <w:rStyle w:val="Hyperlink"/>
          </w:rPr>
          <w:t xml:space="preserve">http://news.jcrb.com/jxsw/201806/t20180627_1879967.html</w:t>
        </w:r>
      </w:hyperlink>
    </w:p>
    <w:p>
      <w:pPr>
        <w:pStyle w:val="Heading3"/>
      </w:pPr>
      <w:bookmarkStart w:id="43" w:name="国务院办公厅印发方案到政府办事要像网购一样方便"/>
      <w:r>
        <w:t xml:space="preserve">国务院办公厅印发方案：到政府办事要像“网购”一样方便</w:t>
      </w:r>
      <w:bookmarkEnd w:id="43"/>
    </w:p>
    <w:p>
      <w:pPr>
        <w:pStyle w:val="FirstParagraph"/>
      </w:pPr>
      <w:r>
        <w:t xml:space="preserve">日前，国务院办公厅印发《进一步深化“互联网+政务服务”推进政务服务“一网、一门、一次”改革实施方案》（以下简称《方案》），就加快推进政务服务“一网通办”和企业群众办事“只进一扇门”、“最多跑一次”等作出部署。</w:t>
      </w:r>
    </w:p>
    <w:p>
      <w:pPr>
        <w:pStyle w:val="TextBody"/>
      </w:pPr>
      <w:r>
        <w:t xml:space="preserve">《方案》提出，坚持联网通办是原则、孤网是例外，政务服务上网是原则、不上网是例外，到2018年底，“一网、一门、一次”改革初见成效，省级政务服务事项网上可办率不低于80%，市县级政务服务事项进驻综合性实体政务大厅比例不低于70%，省市县各级30个高频事项实现“最多跑一次”。到2019年底，重点领域和高频事项基本实现“一网、一门、一次”，省级政务服务事项网上可办率不低于90%，政务服务事项进驻综合性实体政务大厅基本实现“应进必进”，省市县各级100个高频事项实现“最多跑一次”。 《方案》强调，要建立健全“一网通办”的标准规范，加快完善相关法规制度，建立监督举报投诉机制，开展百项问题疏解和百佳案例推广行动。各地区、各部门要层层压实责任，加强统筹协调，精心组织实施，推动“互联网+政务服务”取得更大实效。</w:t>
      </w:r>
    </w:p>
    <w:p>
      <w:pPr>
        <w:pStyle w:val="TextBody"/>
      </w:pPr>
      <w:hyperlink r:id="rId44">
        <w:r>
          <w:rPr>
            <w:rStyle w:val="Hyperlink"/>
          </w:rPr>
          <w:t xml:space="preserve">http://news.jcrb.com/jxsw/201806/t20180623_1878798.html</w:t>
        </w:r>
      </w:hyperlink>
    </w:p>
    <w:p>
      <w:pPr>
        <w:pStyle w:val="Heading3"/>
      </w:pPr>
      <w:bookmarkStart w:id="45" w:name="陕西高院出台意见要求司法服务保障乡村振兴战略实施"/>
      <w:r>
        <w:t xml:space="preserve">陕西高院出台《意见》：要求司法服务保障乡村振兴战略实施</w:t>
      </w:r>
      <w:bookmarkEnd w:id="45"/>
    </w:p>
    <w:p>
      <w:pPr>
        <w:pStyle w:val="FirstParagraph"/>
      </w:pPr>
      <w:r>
        <w:t xml:space="preserve">近日，陕西省高级人民法院出台《关于为乡村振兴战略实施提供有力司法服务和司法保障的意见》（以下简称《意见》）。《意见》紧密结合法院审判职能，不仅对依法审理涉农案件、妥善化解矛盾纠纷提出明确要求，还对发挥司法教育引导作用、促进农村社会治理体系完善作出具体安排；不仅涉及涉农审判机制的创新完善，还涵盖了涉农司法服务体系完善等方面的内容，具有较强的前瞻性、针对性和指导性。</w:t>
      </w:r>
    </w:p>
    <w:p>
      <w:pPr>
        <w:pStyle w:val="TextBody"/>
      </w:pPr>
      <w:r>
        <w:t xml:space="preserve">《意见》指出，实施乡村振兴战略是陕西省践行“五个扎实”、实现追赶超越的重大历史任务。全省法院要充分发挥审判职能，坚持专门机关与群众路线相结合，坚持司法职能与社会责任共担，坚持审判执行与综治维稳相辅，坚持诉讼与多元化纠纷解决机制对接，坚持司法规范引导与社会综合治理并重，切实增强服务和保障乡村振兴战略实施的思想认识，明确服务和保障乡村振兴战略实施的基本原则和目标任务，切实找准服务保障乡村振兴战略实施的工作切入点、结合点、着力点。</w:t>
      </w:r>
    </w:p>
    <w:p>
      <w:pPr>
        <w:pStyle w:val="TextBody"/>
      </w:pPr>
      <w:hyperlink r:id="rId46">
        <w:r>
          <w:rPr>
            <w:rStyle w:val="Hyperlink"/>
          </w:rPr>
          <w:t xml:space="preserve">http://www.court.gov.cn/zixun-xiangqing-103372.html</w:t>
        </w:r>
      </w:hyperlink>
    </w:p>
    <w:p>
      <w:pPr>
        <w:pStyle w:val="Heading2"/>
      </w:pPr>
      <w:bookmarkStart w:id="47" w:name="并购"/>
      <w:r>
        <w:t xml:space="preserve">并购</w:t>
      </w:r>
      <w:bookmarkEnd w:id="47"/>
    </w:p>
    <w:p>
      <w:pPr>
        <w:pStyle w:val="Heading3"/>
      </w:pPr>
      <w:bookmarkStart w:id="48" w:name="两大通信央企重组中国信科集团剑指5g发展"/>
      <w:r>
        <w:t xml:space="preserve">两大通信央企重组，中国信科集团剑指5G发展</w:t>
      </w:r>
      <w:bookmarkEnd w:id="48"/>
    </w:p>
    <w:p>
      <w:pPr>
        <w:pStyle w:val="FirstParagraph"/>
      </w:pPr>
      <w:r>
        <w:t xml:space="preserve">近日，国务院国资委宣布，经国务院批准，武汉邮电科学研究院有限公司与电信科学技术研究院有限公司实施联合重组。重组之后，两家公司将并入新成立的中国信息通信科技集团有限公司。在业内人士看来，两大通信央企的“合并同类项”，将重塑中国的通信产业格局，在整合产业和资源后，利好中国的5G发展。</w:t>
      </w:r>
    </w:p>
    <w:p>
      <w:pPr>
        <w:pStyle w:val="TextBody"/>
      </w:pPr>
      <w:r>
        <w:t xml:space="preserve">据悉，中国信科集团仍将聚焦通信主业，面向宽带中国建设主战场和国家网络安全需求，围绕5G技术和产业化发展，推进移动通信技术、光纤通信技术、数据通信技术、集成电路技术等深度融合，加快突破关键核心技术，整合技术及产业，目标是扛起中国无线通信、光纤通信发展的战略大旗，成为中央企业中信息通信领域科技水平高、产业规模大、综合实力强的国际一流公司。</w:t>
      </w:r>
    </w:p>
    <w:p>
      <w:pPr>
        <w:pStyle w:val="TextBody"/>
      </w:pPr>
      <w:hyperlink r:id="rId49">
        <w:r>
          <w:rPr>
            <w:rStyle w:val="Hyperlink"/>
          </w:rPr>
          <w:t xml:space="preserve">http://news.cnstock.com/theme,201806-4239192.htm</w:t>
        </w:r>
      </w:hyperlink>
    </w:p>
    <w:p>
      <w:pPr>
        <w:pStyle w:val="Heading3"/>
      </w:pPr>
      <w:bookmarkStart w:id="50" w:name="中体产业近10亿收购体育资产"/>
      <w:r>
        <w:t xml:space="preserve">中体产业近10亿收购体育资产</w:t>
      </w:r>
      <w:bookmarkEnd w:id="50"/>
    </w:p>
    <w:p>
      <w:pPr>
        <w:pStyle w:val="FirstParagraph"/>
      </w:pPr>
      <w:r>
        <w:t xml:space="preserve">中体产业于2018年6月26日晚间披露重大资产重组预案，拟收购4家体育资产公司。通过此次重组，二股东华体集团有限公司拟替代控股股东国家体育总局体育基金管理中心，完成备受关注的资产注入承诺。</w:t>
      </w:r>
    </w:p>
    <w:p>
      <w:pPr>
        <w:pStyle w:val="TextBody"/>
      </w:pPr>
      <w:r>
        <w:t xml:space="preserve">中体产业是国家体育总局唯一控股的上市公司，以体育产业为主业，已建立起成熟的体育全产业链、全覆盖的业务结构，业务包括专业赛事管理及运营、体育场馆咨询设计、场馆工程建设、体育彩票等相关业务。中体产业称，此次交易完成后，随着标的资产注入上市公司，上市公司将扩大体育产业布局，进一步实现体育产业全产业链覆盖，提升上市公司在体育类业务板块的服务能力，实现主营业务协同发展，提升上市公司未来的盈利能力。</w:t>
      </w:r>
    </w:p>
    <w:p>
      <w:pPr>
        <w:pStyle w:val="TextBody"/>
      </w:pPr>
      <w:hyperlink r:id="rId51">
        <w:r>
          <w:rPr>
            <w:rStyle w:val="Hyperlink"/>
          </w:rPr>
          <w:t xml:space="preserve">http://company.stcn.com/2018/0627/14346174.shtml</w:t>
        </w:r>
      </w:hyperlink>
    </w:p>
    <w:p>
      <w:pPr>
        <w:pStyle w:val="Heading3"/>
      </w:pPr>
      <w:bookmarkStart w:id="52" w:name="哈工智能拟5.66亿元收购瑞弗机电"/>
      <w:r>
        <w:t xml:space="preserve">哈工智能拟5.66亿元收购瑞弗机电</w:t>
      </w:r>
      <w:bookmarkEnd w:id="52"/>
    </w:p>
    <w:p>
      <w:pPr>
        <w:pStyle w:val="FirstParagraph"/>
      </w:pPr>
      <w:r>
        <w:t xml:space="preserve">哈工智能近日公告，公司拟向交易对方发行股份及支付现金购买瑞弗机电100%股权，并募集配套资金。本次交易标的瑞弗机电100%股权交易作价56,600万元，70%以股份支付，30%以现金支付，公司还将募集配套资金总额不超过19,200万元。</w:t>
      </w:r>
    </w:p>
    <w:p>
      <w:pPr>
        <w:pStyle w:val="TextBody"/>
      </w:pPr>
      <w:r>
        <w:t xml:space="preserve">瑞弗机电主要从事汽车白车身焊装自动化装备研发、生产和销售业务。其业绩承诺期为2018年度至2021年度共计四个会计年度。瑞弗机电现股东承诺瑞弗机电在该四个会计年度内实现的净利润分别不低于3,600万人民币、4,700万人民币、5,750万人民币和6,750万人民币。</w:t>
      </w:r>
    </w:p>
    <w:p>
      <w:pPr>
        <w:pStyle w:val="TextBody"/>
      </w:pPr>
      <w:hyperlink r:id="rId53">
        <w:r>
          <w:rPr>
            <w:rStyle w:val="Hyperlink"/>
          </w:rPr>
          <w:t xml:space="preserve">http://ggjd.cnstock.com/company/scp_ggjd/tjd_ggkx/201806/4239269.htm</w:t>
        </w:r>
      </w:hyperlink>
    </w:p>
    <w:p>
      <w:pPr>
        <w:pStyle w:val="Heading3"/>
      </w:pPr>
      <w:bookmarkStart w:id="54" w:name="吉药控股2800万现金收购美罗医药70股权"/>
      <w:r>
        <w:t xml:space="preserve">吉药控股2800万现金收购美罗医药70%股权</w:t>
      </w:r>
      <w:bookmarkEnd w:id="54"/>
    </w:p>
    <w:p>
      <w:pPr>
        <w:pStyle w:val="FirstParagraph"/>
      </w:pPr>
      <w:r>
        <w:t xml:space="preserve">吉药控股2018年6月27日晚间公告，公司近日与孙学武、周长贵、李达、刘谦、刘国华签署了《股权转让协议》。各方一致同意将辽宁美罗医药供应有限公司70%的股权作价2800万元转让给公司。</w:t>
      </w:r>
    </w:p>
    <w:p>
      <w:pPr>
        <w:pStyle w:val="TextBody"/>
      </w:pPr>
      <w:r>
        <w:t xml:space="preserve">公司称，本次股权转让协议符合公司大健康产业的发展方向和发展战略，可拓展公司终端销售渠道，充分发挥公司产业协同效应，对公司未来发展具有积极的影响。辽宁美罗医药供应有限公司是一家集药品、医疗器械、保健食品、化妆品经营于一体的综合性商业批发和配送企业，已获得包括辉瑞、阿斯利康、默克、礼来、诺和诺德等国内外知名药品生产企业在辽宁省的一级、二级经销资格，公司主要为辽宁省内14个地级市及县级市场的连锁药店、基层医疗终端配送药品，商业分销网络覆盖多个省份。</w:t>
      </w:r>
    </w:p>
    <w:p>
      <w:pPr>
        <w:pStyle w:val="TextBody"/>
      </w:pPr>
      <w:hyperlink r:id="rId55">
        <w:r>
          <w:rPr>
            <w:rStyle w:val="Hyperlink"/>
          </w:rPr>
          <w:t xml:space="preserve">http://ggjd.cnstock.com/company/scp_ggjd/tjd_bbdj/201806/4239150.htm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- 2018年6月30日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6f97ef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1" Type="http://schemas.openxmlformats.org/officeDocument/2006/relationships/hyperlink" Target="http://company.stcn.com/2018/0627/14346174.shtml" TargetMode="External"/><Relationship Id="rId55" Type="http://schemas.openxmlformats.org/officeDocument/2006/relationships/hyperlink" Target="http://ggjd.cnstock.com/company/scp_ggjd/tjd_bbdj/201806/4239150.htm" TargetMode="External"/><Relationship Id="rId53" Type="http://schemas.openxmlformats.org/officeDocument/2006/relationships/hyperlink" Target="http://ggjd.cnstock.com/company/scp_ggjd/tjd_ggkx/201806/4239269.htm" TargetMode="External"/><Relationship Id="rId40" Type="http://schemas.openxmlformats.org/officeDocument/2006/relationships/hyperlink" Target="http://news.cnstock.com/news,bwkx-201806-4239405.htm" TargetMode="External"/><Relationship Id="rId49" Type="http://schemas.openxmlformats.org/officeDocument/2006/relationships/hyperlink" Target="http://news.cnstock.com/theme,201806-4239192.htm" TargetMode="External"/><Relationship Id="rId44" Type="http://schemas.openxmlformats.org/officeDocument/2006/relationships/hyperlink" Target="http://news.jcrb.com/jxsw/201806/t20180623_1878798.html" TargetMode="External"/><Relationship Id="rId23" Type="http://schemas.openxmlformats.org/officeDocument/2006/relationships/hyperlink" Target="http://news.jcrb.com/jxsw/201806/t20180626_1879473.html" TargetMode="External"/><Relationship Id="rId42" Type="http://schemas.openxmlformats.org/officeDocument/2006/relationships/hyperlink" Target="http://news.jcrb.com/jxsw/201806/t20180627_1879967.html" TargetMode="External"/><Relationship Id="rId27" Type="http://schemas.openxmlformats.org/officeDocument/2006/relationships/hyperlink" Target="http://www.chinaforex.com.cn/index.php/cms/item-view-id-46964.shtml" TargetMode="External"/><Relationship Id="rId37" Type="http://schemas.openxmlformats.org/officeDocument/2006/relationships/hyperlink" Target="http://www.court.gov.cn/zixun-xiangqing-103322.html" TargetMode="External"/><Relationship Id="rId46" Type="http://schemas.openxmlformats.org/officeDocument/2006/relationships/hyperlink" Target="http://www.court.gov.cn/zixun-xiangqing-103372.html" TargetMode="External"/><Relationship Id="rId35" Type="http://schemas.openxmlformats.org/officeDocument/2006/relationships/hyperlink" Target="http://www.legaldaily.com.cn/index_article/content/2018-06/27/content_7579651.htm?node=5955" TargetMode="External"/><Relationship Id="rId25" Type="http://schemas.openxmlformats.org/officeDocument/2006/relationships/hyperlink" Target="http://www.sse.com.cn/aboutus/mediacenter/hotandd/c/c_20180620_4576180.shtml" TargetMode="External"/><Relationship Id="rId29" Type="http://schemas.openxmlformats.org/officeDocument/2006/relationships/hyperlink" Target="http://www.xinhuanet.com/fortune/2018-06/27/c_1123046367.htm" TargetMode="External"/><Relationship Id="rId32" Type="http://schemas.openxmlformats.org/officeDocument/2006/relationships/hyperlink" Target="http://xw.sinoins.com/2018-06/28/content_264935.htm" TargetMode="External"/><Relationship Id="rId9" Type="http://schemas.openxmlformats.org/officeDocument/2006/relationships/hyperlink" Target="http://www.charltonslaw.com.cn/zhong-guo-ren-min-yin-hang-deng-wu-bu-men-lian-he-fa-wen-zong-he-shi-ce-po-jie-xiao-wei-rong-zi-nan-t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company.stcn.com/2018/0627/14346174.shtml" TargetMode="External"/><Relationship Id="rId55" Type="http://schemas.openxmlformats.org/officeDocument/2006/relationships/hyperlink" Target="http://ggjd.cnstock.com/company/scp_ggjd/tjd_bbdj/201806/4239150.htm" TargetMode="External"/><Relationship Id="rId53" Type="http://schemas.openxmlformats.org/officeDocument/2006/relationships/hyperlink" Target="http://ggjd.cnstock.com/company/scp_ggjd/tjd_ggkx/201806/4239269.htm" TargetMode="External"/><Relationship Id="rId40" Type="http://schemas.openxmlformats.org/officeDocument/2006/relationships/hyperlink" Target="http://news.cnstock.com/news,bwkx-201806-4239405.htm" TargetMode="External"/><Relationship Id="rId49" Type="http://schemas.openxmlformats.org/officeDocument/2006/relationships/hyperlink" Target="http://news.cnstock.com/theme,201806-4239192.htm" TargetMode="External"/><Relationship Id="rId44" Type="http://schemas.openxmlformats.org/officeDocument/2006/relationships/hyperlink" Target="http://news.jcrb.com/jxsw/201806/t20180623_1878798.html" TargetMode="External"/><Relationship Id="rId23" Type="http://schemas.openxmlformats.org/officeDocument/2006/relationships/hyperlink" Target="http://news.jcrb.com/jxsw/201806/t20180626_1879473.html" TargetMode="External"/><Relationship Id="rId42" Type="http://schemas.openxmlformats.org/officeDocument/2006/relationships/hyperlink" Target="http://news.jcrb.com/jxsw/201806/t20180627_1879967.html" TargetMode="External"/><Relationship Id="rId27" Type="http://schemas.openxmlformats.org/officeDocument/2006/relationships/hyperlink" Target="http://www.chinaforex.com.cn/index.php/cms/item-view-id-46964.shtml" TargetMode="External"/><Relationship Id="rId37" Type="http://schemas.openxmlformats.org/officeDocument/2006/relationships/hyperlink" Target="http://www.court.gov.cn/zixun-xiangqing-103322.html" TargetMode="External"/><Relationship Id="rId46" Type="http://schemas.openxmlformats.org/officeDocument/2006/relationships/hyperlink" Target="http://www.court.gov.cn/zixun-xiangqing-103372.html" TargetMode="External"/><Relationship Id="rId35" Type="http://schemas.openxmlformats.org/officeDocument/2006/relationships/hyperlink" Target="http://www.legaldaily.com.cn/index_article/content/2018-06/27/content_7579651.htm?node=5955" TargetMode="External"/><Relationship Id="rId25" Type="http://schemas.openxmlformats.org/officeDocument/2006/relationships/hyperlink" Target="http://www.sse.com.cn/aboutus/mediacenter/hotandd/c/c_20180620_4576180.shtml" TargetMode="External"/><Relationship Id="rId29" Type="http://schemas.openxmlformats.org/officeDocument/2006/relationships/hyperlink" Target="http://www.xinhuanet.com/fortune/2018-06/27/c_1123046367.htm" TargetMode="External"/><Relationship Id="rId32" Type="http://schemas.openxmlformats.org/officeDocument/2006/relationships/hyperlink" Target="http://xw.sinoins.com/2018-06/28/content_2649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2018-06-29T04:35:21Z</dcterms:created>
  <dcterms:modified xsi:type="dcterms:W3CDTF">2018-06-29T04:35:21Z</dcterms:modified>
</cp:coreProperties>
</file>