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6F6" w:rsidRDefault="00E556BD">
      <w:pPr>
        <w:pStyle w:val="BlackStrips"/>
        <w:rPr>
          <w:lang w:eastAsia="zh-CN"/>
        </w:rPr>
      </w:pPr>
      <w:r>
        <w:rPr>
          <w:lang w:eastAsia="zh-CN"/>
        </w:rPr>
        <w:t xml:space="preserve">Charltons - </w:t>
      </w:r>
      <w:r>
        <w:rPr>
          <w:lang w:eastAsia="zh-CN"/>
        </w:rPr>
        <w:t>法讯</w:t>
      </w:r>
      <w:r>
        <w:rPr>
          <w:lang w:eastAsia="zh-CN"/>
        </w:rPr>
        <w:t xml:space="preserve"> - </w:t>
      </w:r>
      <w:r>
        <w:rPr>
          <w:lang w:eastAsia="zh-CN"/>
        </w:rPr>
        <w:t>中国</w:t>
      </w:r>
      <w:r>
        <w:rPr>
          <w:lang w:eastAsia="zh-CN"/>
        </w:rPr>
        <w:t xml:space="preserve"> - 2019</w:t>
      </w:r>
      <w:r>
        <w:rPr>
          <w:lang w:eastAsia="zh-CN"/>
        </w:rPr>
        <w:t>年</w:t>
      </w:r>
      <w:r>
        <w:rPr>
          <w:lang w:eastAsia="zh-CN"/>
        </w:rPr>
        <w:t>6</w:t>
      </w:r>
      <w:r>
        <w:rPr>
          <w:lang w:eastAsia="zh-CN"/>
        </w:rPr>
        <w:t>月</w:t>
      </w:r>
      <w:r>
        <w:rPr>
          <w:lang w:eastAsia="zh-CN"/>
        </w:rPr>
        <w:t>28</w:t>
      </w:r>
      <w:r>
        <w:rPr>
          <w:lang w:eastAsia="zh-CN"/>
        </w:rPr>
        <w:t>日</w:t>
      </w:r>
    </w:p>
    <w:p w:rsidR="000136F6" w:rsidRDefault="00E556BD">
      <w:pPr>
        <w:pStyle w:val="ReadOnline"/>
        <w:rPr>
          <w:lang w:eastAsia="zh-CN"/>
        </w:rPr>
      </w:pPr>
      <w:hyperlink r:id="rId7">
        <w:r>
          <w:rPr>
            <w:lang w:eastAsia="zh-CN"/>
          </w:rPr>
          <w:t>online version</w:t>
        </w:r>
      </w:hyperlink>
    </w:p>
    <w:p w:rsidR="000136F6" w:rsidRDefault="00E556BD">
      <w:pPr>
        <w:pStyle w:val="Title"/>
        <w:rPr>
          <w:lang w:eastAsia="zh-CN"/>
        </w:rPr>
      </w:pPr>
      <w:r>
        <w:rPr>
          <w:lang w:eastAsia="zh-CN"/>
        </w:rPr>
        <w:t>中日</w:t>
      </w:r>
      <w:r>
        <w:rPr>
          <w:lang w:eastAsia="zh-CN"/>
        </w:rPr>
        <w:t>ETF</w:t>
      </w:r>
      <w:r>
        <w:rPr>
          <w:lang w:eastAsia="zh-CN"/>
        </w:rPr>
        <w:t>成功互通</w:t>
      </w:r>
    </w:p>
    <w:p w:rsidR="000136F6" w:rsidRDefault="00E556BD">
      <w:pPr>
        <w:pStyle w:val="Heading2"/>
        <w:rPr>
          <w:lang w:eastAsia="zh-CN"/>
        </w:rPr>
      </w:pPr>
      <w:bookmarkStart w:id="0" w:name="简介"/>
      <w:r>
        <w:rPr>
          <w:lang w:eastAsia="zh-CN"/>
        </w:rPr>
        <w:t>简介</w:t>
      </w:r>
      <w:bookmarkEnd w:id="0"/>
    </w:p>
    <w:p w:rsidR="000136F6" w:rsidRDefault="00E556BD">
      <w:pPr>
        <w:pStyle w:val="FirstParagraph"/>
        <w:rPr>
          <w:lang w:eastAsia="zh-CN"/>
        </w:rPr>
      </w:pPr>
      <w:r>
        <w:rPr>
          <w:lang w:eastAsia="zh-CN"/>
        </w:rPr>
        <w:t>中日</w:t>
      </w:r>
      <w:r>
        <w:rPr>
          <w:lang w:eastAsia="zh-CN"/>
        </w:rPr>
        <w:t>ETF</w:t>
      </w:r>
      <w:r>
        <w:rPr>
          <w:lang w:eastAsia="zh-CN"/>
        </w:rPr>
        <w:t>成功互通；</w:t>
      </w:r>
      <w:r>
        <w:rPr>
          <w:lang w:eastAsia="zh-CN"/>
        </w:rPr>
        <w:t>A</w:t>
      </w:r>
      <w:r>
        <w:rPr>
          <w:lang w:eastAsia="zh-CN"/>
        </w:rPr>
        <w:t>股纳入富时罗素全球指数；沪伦通正式通航；中国保险行业协会发布首个核保险行业标准；财政部、税务总局联合发布《关于个人取得有关收入适用个人所得税应税所得项目的公告》；海关总署清理取消证明事项</w:t>
      </w:r>
      <w:r>
        <w:rPr>
          <w:lang w:eastAsia="zh-CN"/>
        </w:rPr>
        <w:t>92</w:t>
      </w:r>
      <w:r>
        <w:rPr>
          <w:lang w:eastAsia="zh-CN"/>
        </w:rPr>
        <w:t>项</w:t>
      </w:r>
    </w:p>
    <w:p w:rsidR="000136F6" w:rsidRDefault="00E556BD">
      <w:pPr>
        <w:pStyle w:val="Heading2"/>
        <w:rPr>
          <w:lang w:eastAsia="zh-CN"/>
        </w:rPr>
      </w:pPr>
      <w:bookmarkStart w:id="1" w:name="资本市场"/>
      <w:r>
        <w:rPr>
          <w:lang w:eastAsia="zh-CN"/>
        </w:rPr>
        <w:t>资本市场</w:t>
      </w:r>
      <w:bookmarkEnd w:id="1"/>
    </w:p>
    <w:p w:rsidR="000136F6" w:rsidRDefault="00E556BD">
      <w:pPr>
        <w:pStyle w:val="Heading3"/>
        <w:rPr>
          <w:lang w:eastAsia="zh-CN"/>
        </w:rPr>
      </w:pPr>
      <w:bookmarkStart w:id="2" w:name="中日etf成功互通"/>
      <w:r>
        <w:rPr>
          <w:lang w:eastAsia="zh-CN"/>
        </w:rPr>
        <w:t>中日</w:t>
      </w:r>
      <w:r>
        <w:rPr>
          <w:lang w:eastAsia="zh-CN"/>
        </w:rPr>
        <w:t>ETF</w:t>
      </w:r>
      <w:r>
        <w:rPr>
          <w:lang w:eastAsia="zh-CN"/>
        </w:rPr>
        <w:t>成功互通</w:t>
      </w:r>
      <w:bookmarkEnd w:id="2"/>
    </w:p>
    <w:p w:rsidR="000136F6" w:rsidRDefault="00E556BD">
      <w:pPr>
        <w:pStyle w:val="FirstParagraph"/>
        <w:rPr>
          <w:lang w:eastAsia="zh-CN"/>
        </w:rPr>
      </w:pPr>
      <w:r>
        <w:rPr>
          <w:lang w:eastAsia="zh-CN"/>
        </w:rPr>
        <w:t>2019</w:t>
      </w:r>
      <w:r>
        <w:rPr>
          <w:lang w:eastAsia="zh-CN"/>
        </w:rPr>
        <w:t>年</w:t>
      </w:r>
      <w:r>
        <w:rPr>
          <w:lang w:eastAsia="zh-CN"/>
        </w:rPr>
        <w:t>6</w:t>
      </w:r>
      <w:r>
        <w:rPr>
          <w:lang w:eastAsia="zh-CN"/>
        </w:rPr>
        <w:t>月</w:t>
      </w:r>
      <w:r>
        <w:rPr>
          <w:lang w:eastAsia="zh-CN"/>
        </w:rPr>
        <w:t>25</w:t>
      </w:r>
      <w:r>
        <w:rPr>
          <w:lang w:eastAsia="zh-CN"/>
        </w:rPr>
        <w:t>日上午，上海证券交易所和日本交易所集团（以下简称日交所集团）分别举行中日</w:t>
      </w:r>
      <w:r>
        <w:rPr>
          <w:lang w:eastAsia="zh-CN"/>
        </w:rPr>
        <w:t>ETF</w:t>
      </w:r>
      <w:r>
        <w:rPr>
          <w:lang w:eastAsia="zh-CN"/>
        </w:rPr>
        <w:t>互通开通仪式，</w:t>
      </w:r>
      <w:r>
        <w:rPr>
          <w:lang w:eastAsia="zh-CN"/>
        </w:rPr>
        <w:t>4</w:t>
      </w:r>
      <w:r>
        <w:rPr>
          <w:lang w:eastAsia="zh-CN"/>
        </w:rPr>
        <w:t>只中日</w:t>
      </w:r>
      <w:r>
        <w:rPr>
          <w:lang w:eastAsia="zh-CN"/>
        </w:rPr>
        <w:t>ETF</w:t>
      </w:r>
      <w:r>
        <w:rPr>
          <w:lang w:eastAsia="zh-CN"/>
        </w:rPr>
        <w:t>互通产品在上交所成功上市。易方达日兴资管日经</w:t>
      </w:r>
      <w:r>
        <w:rPr>
          <w:lang w:eastAsia="zh-CN"/>
        </w:rPr>
        <w:t>225ETF</w:t>
      </w:r>
      <w:r>
        <w:rPr>
          <w:lang w:eastAsia="zh-CN"/>
        </w:rPr>
        <w:t>、华夏野村日经</w:t>
      </w:r>
      <w:r>
        <w:rPr>
          <w:lang w:eastAsia="zh-CN"/>
        </w:rPr>
        <w:t>225ETF</w:t>
      </w:r>
      <w:r>
        <w:rPr>
          <w:lang w:eastAsia="zh-CN"/>
        </w:rPr>
        <w:t xml:space="preserve">、南方顶峰TOPIX </w:t>
      </w:r>
      <w:r>
        <w:rPr>
          <w:lang w:eastAsia="zh-CN"/>
        </w:rPr>
        <w:t>ETF</w:t>
      </w:r>
      <w:r>
        <w:rPr>
          <w:lang w:eastAsia="zh-CN"/>
        </w:rPr>
        <w:t>和华安三菱日联日经</w:t>
      </w:r>
      <w:r>
        <w:rPr>
          <w:lang w:eastAsia="zh-CN"/>
        </w:rPr>
        <w:t>225ETF</w:t>
      </w:r>
      <w:r>
        <w:rPr>
          <w:lang w:eastAsia="zh-CN"/>
        </w:rPr>
        <w:t>首批四只</w:t>
      </w:r>
      <w:r>
        <w:rPr>
          <w:lang w:eastAsia="zh-CN"/>
        </w:rPr>
        <w:t>ETF</w:t>
      </w:r>
      <w:r>
        <w:rPr>
          <w:lang w:eastAsia="zh-CN"/>
        </w:rPr>
        <w:t>互通产品挂牌交易。</w:t>
      </w:r>
    </w:p>
    <w:p w:rsidR="000136F6" w:rsidRDefault="00E556BD">
      <w:pPr>
        <w:pStyle w:val="BodyText"/>
      </w:pPr>
      <w:r>
        <w:t>在日交所集团的仪式上，日方共有</w:t>
      </w:r>
      <w:r>
        <w:t>4</w:t>
      </w:r>
      <w:r>
        <w:t>只</w:t>
      </w:r>
      <w:r>
        <w:t>ETF</w:t>
      </w:r>
      <w:r>
        <w:t>互通产品：</w:t>
      </w:r>
      <w:r>
        <w:t>NEXT FUNDS ChinaAMC SSE50 Index Exchange Traded Fund</w:t>
      </w:r>
      <w:r>
        <w:t>、</w:t>
      </w:r>
      <w:r>
        <w:t xml:space="preserve">Listed Index Fund </w:t>
      </w:r>
      <w:r>
        <w:t>China A Share (Panda) E Fund CSI300</w:t>
      </w:r>
      <w:r>
        <w:t>、</w:t>
      </w:r>
      <w:r>
        <w:t>MAXIS HuaAn China Equity (SSE 180 index) ETF</w:t>
      </w:r>
      <w:r>
        <w:t>、</w:t>
      </w:r>
      <w:r>
        <w:t>One ETF Southern China A-Share CSI 500</w:t>
      </w:r>
      <w:r>
        <w:t>。</w:t>
      </w:r>
    </w:p>
    <w:p w:rsidR="000136F6" w:rsidRDefault="00E556BD">
      <w:pPr>
        <w:pStyle w:val="BodyText"/>
        <w:rPr>
          <w:lang w:eastAsia="zh-CN"/>
        </w:rPr>
      </w:pPr>
      <w:r>
        <w:rPr>
          <w:lang w:eastAsia="zh-CN"/>
        </w:rPr>
        <w:t>中日</w:t>
      </w:r>
      <w:r>
        <w:rPr>
          <w:lang w:eastAsia="zh-CN"/>
        </w:rPr>
        <w:t>ETF</w:t>
      </w:r>
      <w:r>
        <w:rPr>
          <w:lang w:eastAsia="zh-CN"/>
        </w:rPr>
        <w:t>基于交易所间不同合作模式基础，综合考虑中日资本市场特点及跨境投资需求等因素，立足发挥两国资本市场比较优势，秉承两国行业机构携手发展、互利共赢的理念，最终形成创新性的业务模式。中日</w:t>
      </w:r>
      <w:r>
        <w:rPr>
          <w:lang w:eastAsia="zh-CN"/>
        </w:rPr>
        <w:t>ETF</w:t>
      </w:r>
      <w:r>
        <w:rPr>
          <w:lang w:eastAsia="zh-CN"/>
        </w:rPr>
        <w:t>互通是拓展中日资本市场务实合作，扩大我国资本市场对外开放的又一项重要举措。</w:t>
      </w:r>
    </w:p>
    <w:p w:rsidR="000136F6" w:rsidRDefault="00E556BD">
      <w:pPr>
        <w:pStyle w:val="BodyText"/>
      </w:pPr>
      <w:hyperlink r:id="rId8">
        <w:r>
          <w:t>http://www.sse.com.cn/aboutus/mediacenter/hotandd/c/c_20190625_4846882.shtml</w:t>
        </w:r>
      </w:hyperlink>
    </w:p>
    <w:p w:rsidR="000136F6" w:rsidRDefault="00E556BD">
      <w:pPr>
        <w:pStyle w:val="Heading3"/>
        <w:rPr>
          <w:lang w:eastAsia="zh-CN"/>
        </w:rPr>
      </w:pPr>
      <w:bookmarkStart w:id="3" w:name="a股纳入富时罗素全球指数"/>
      <w:r>
        <w:rPr>
          <w:lang w:eastAsia="zh-CN"/>
        </w:rPr>
        <w:t>A</w:t>
      </w:r>
      <w:r>
        <w:rPr>
          <w:lang w:eastAsia="zh-CN"/>
        </w:rPr>
        <w:t>股纳入富时罗素全球指数</w:t>
      </w:r>
      <w:bookmarkEnd w:id="3"/>
    </w:p>
    <w:p w:rsidR="000136F6" w:rsidRDefault="00E556BD">
      <w:pPr>
        <w:pStyle w:val="FirstParagraph"/>
        <w:rPr>
          <w:lang w:eastAsia="zh-CN"/>
        </w:rPr>
      </w:pPr>
      <w:r>
        <w:rPr>
          <w:lang w:eastAsia="zh-CN"/>
        </w:rPr>
        <w:t>6</w:t>
      </w:r>
      <w:r>
        <w:rPr>
          <w:lang w:eastAsia="zh-CN"/>
        </w:rPr>
        <w:t>月</w:t>
      </w:r>
      <w:r>
        <w:rPr>
          <w:lang w:eastAsia="zh-CN"/>
        </w:rPr>
        <w:t>21</w:t>
      </w:r>
      <w:r>
        <w:rPr>
          <w:lang w:eastAsia="zh-CN"/>
        </w:rPr>
        <w:t>日，</w:t>
      </w:r>
      <w:r>
        <w:rPr>
          <w:lang w:eastAsia="zh-CN"/>
        </w:rPr>
        <w:t>A</w:t>
      </w:r>
      <w:r>
        <w:rPr>
          <w:lang w:eastAsia="zh-CN"/>
        </w:rPr>
        <w:t>股纳入富时罗素全球指数启动仪式在深圳证券交易所成功举行，富时罗素宣布将</w:t>
      </w:r>
      <w:r>
        <w:rPr>
          <w:lang w:eastAsia="zh-CN"/>
        </w:rPr>
        <w:t>A</w:t>
      </w:r>
      <w:r>
        <w:rPr>
          <w:lang w:eastAsia="zh-CN"/>
        </w:rPr>
        <w:t>股纳入其全球股票指数体系，并于</w:t>
      </w:r>
      <w:r>
        <w:rPr>
          <w:lang w:eastAsia="zh-CN"/>
        </w:rPr>
        <w:t>2019</w:t>
      </w:r>
      <w:r>
        <w:rPr>
          <w:lang w:eastAsia="zh-CN"/>
        </w:rPr>
        <w:t>年</w:t>
      </w:r>
      <w:r>
        <w:rPr>
          <w:lang w:eastAsia="zh-CN"/>
        </w:rPr>
        <w:t>6</w:t>
      </w:r>
      <w:r>
        <w:rPr>
          <w:lang w:eastAsia="zh-CN"/>
        </w:rPr>
        <w:t>月</w:t>
      </w:r>
      <w:r>
        <w:rPr>
          <w:lang w:eastAsia="zh-CN"/>
        </w:rPr>
        <w:t>24</w:t>
      </w:r>
      <w:r>
        <w:rPr>
          <w:lang w:eastAsia="zh-CN"/>
        </w:rPr>
        <w:t>日开盘</w:t>
      </w:r>
      <w:r>
        <w:rPr>
          <w:lang w:eastAsia="zh-CN"/>
        </w:rPr>
        <w:t>时正式生效。继明晟（</w:t>
      </w:r>
      <w:r>
        <w:rPr>
          <w:lang w:eastAsia="zh-CN"/>
        </w:rPr>
        <w:t>MSCI</w:t>
      </w:r>
      <w:r>
        <w:rPr>
          <w:lang w:eastAsia="zh-CN"/>
        </w:rPr>
        <w:t>）后，国际知名指数编制公司富时罗素也正式将</w:t>
      </w:r>
      <w:r>
        <w:rPr>
          <w:lang w:eastAsia="zh-CN"/>
        </w:rPr>
        <w:t>A</w:t>
      </w:r>
      <w:r>
        <w:rPr>
          <w:lang w:eastAsia="zh-CN"/>
        </w:rPr>
        <w:t>股纳入其指数体系。瓦卡斯</w:t>
      </w:r>
      <w:r>
        <w:rPr>
          <w:lang w:eastAsia="zh-CN"/>
        </w:rPr>
        <w:t>•</w:t>
      </w:r>
      <w:r>
        <w:rPr>
          <w:lang w:eastAsia="zh-CN"/>
        </w:rPr>
        <w:t>萨马德表示，中国</w:t>
      </w:r>
      <w:r>
        <w:rPr>
          <w:lang w:eastAsia="zh-CN"/>
        </w:rPr>
        <w:t>A</w:t>
      </w:r>
      <w:r>
        <w:rPr>
          <w:lang w:eastAsia="zh-CN"/>
        </w:rPr>
        <w:t>股正式纳入富时罗素全球指数体系是中国股市发展与对外开放的重要标志。在中国监管部门和市场机构的持续努力下，中国</w:t>
      </w:r>
      <w:r>
        <w:rPr>
          <w:lang w:eastAsia="zh-CN"/>
        </w:rPr>
        <w:t>A</w:t>
      </w:r>
      <w:r>
        <w:rPr>
          <w:lang w:eastAsia="zh-CN"/>
        </w:rPr>
        <w:t>股市场不断发展壮大，发行上市制度持续完善，信息披露透明度逐步提升，国际投资渠道日渐丰富。富时罗素将继续提供指数基准、创新分析解决方案，更好满足全球投资者需求，促进对中国地区股票和债券的投资。</w:t>
      </w:r>
    </w:p>
    <w:p w:rsidR="000136F6" w:rsidRDefault="00E556BD">
      <w:pPr>
        <w:pStyle w:val="BodyText"/>
      </w:pPr>
      <w:hyperlink r:id="rId9">
        <w:r>
          <w:t>http://www.sse.com.cn/aboutus/mediacenter/hotandd/c/c_20190621_4845069.shtml</w:t>
        </w:r>
      </w:hyperlink>
    </w:p>
    <w:p w:rsidR="000136F6" w:rsidRDefault="00E556BD">
      <w:pPr>
        <w:pStyle w:val="Heading3"/>
        <w:rPr>
          <w:lang w:eastAsia="zh-CN"/>
        </w:rPr>
      </w:pPr>
      <w:bookmarkStart w:id="4" w:name="沪伦通正式通航"/>
      <w:r>
        <w:rPr>
          <w:lang w:eastAsia="zh-CN"/>
        </w:rPr>
        <w:t>沪伦通正式通航</w:t>
      </w:r>
      <w:bookmarkEnd w:id="4"/>
    </w:p>
    <w:p w:rsidR="000136F6" w:rsidRDefault="00E556BD">
      <w:pPr>
        <w:pStyle w:val="FirstParagraph"/>
        <w:rPr>
          <w:lang w:eastAsia="zh-CN"/>
        </w:rPr>
      </w:pPr>
      <w:r>
        <w:rPr>
          <w:lang w:eastAsia="zh-CN"/>
        </w:rPr>
        <w:t>6</w:t>
      </w:r>
      <w:r>
        <w:rPr>
          <w:lang w:eastAsia="zh-CN"/>
        </w:rPr>
        <w:t>月</w:t>
      </w:r>
      <w:r>
        <w:rPr>
          <w:lang w:eastAsia="zh-CN"/>
        </w:rPr>
        <w:t>17</w:t>
      </w:r>
      <w:r>
        <w:rPr>
          <w:lang w:eastAsia="zh-CN"/>
        </w:rPr>
        <w:t>日在英共同主持第十次中英经济财金对话的中国国务院副总理胡春华与英国财政大臣哈蒙德出席了在伦敦证券交易所（以下简称伦交所）举行的沪伦通启动仪式。沪伦通是指上海证券交易所与伦敦证券交易所互联互通的机制。符合条件的两地上市公司，可以发行存托凭</w:t>
      </w:r>
      <w:r>
        <w:rPr>
          <w:lang w:eastAsia="zh-CN"/>
        </w:rPr>
        <w:t>证（</w:t>
      </w:r>
      <w:r>
        <w:rPr>
          <w:lang w:eastAsia="zh-CN"/>
        </w:rPr>
        <w:t>DR</w:t>
      </w:r>
      <w:r>
        <w:rPr>
          <w:lang w:eastAsia="zh-CN"/>
        </w:rPr>
        <w:t>）并在对方市场上市交易。具体来讲，伦交所上市公司的基础股票可以通过跨境转换等方式，转换成中国存托凭证（</w:t>
      </w:r>
      <w:r>
        <w:rPr>
          <w:lang w:eastAsia="zh-CN"/>
        </w:rPr>
        <w:t>CDR</w:t>
      </w:r>
      <w:r>
        <w:rPr>
          <w:lang w:eastAsia="zh-CN"/>
        </w:rPr>
        <w:t>）在上交所交易；上交所上市公司可以把股票转换成全球存托凭证（</w:t>
      </w:r>
      <w:r>
        <w:rPr>
          <w:lang w:eastAsia="zh-CN"/>
        </w:rPr>
        <w:t>GDR</w:t>
      </w:r>
      <w:r>
        <w:rPr>
          <w:lang w:eastAsia="zh-CN"/>
        </w:rPr>
        <w:t>）</w:t>
      </w:r>
      <w:r>
        <w:rPr>
          <w:lang w:eastAsia="zh-CN"/>
        </w:rPr>
        <w:lastRenderedPageBreak/>
        <w:t>在伦交所交易。中国证监会和英国金融行为监管局发布了沪伦通《联合公告》，原则批准上海证券交易所（以下简称上交所）和伦交所开展沪伦通。同日，上交所上市公司华泰证券股份有限公司发行的沪伦通下首只全球存托凭证（</w:t>
      </w:r>
      <w:r>
        <w:rPr>
          <w:lang w:eastAsia="zh-CN"/>
        </w:rPr>
        <w:t>GDR</w:t>
      </w:r>
      <w:r>
        <w:rPr>
          <w:lang w:eastAsia="zh-CN"/>
        </w:rPr>
        <w:t>）产品在伦交所挂牌交易。</w:t>
      </w:r>
    </w:p>
    <w:p w:rsidR="000136F6" w:rsidRDefault="00E556BD">
      <w:pPr>
        <w:pStyle w:val="BodyText"/>
        <w:rPr>
          <w:lang w:eastAsia="zh-CN"/>
        </w:rPr>
      </w:pPr>
      <w:r>
        <w:rPr>
          <w:lang w:eastAsia="zh-CN"/>
        </w:rPr>
        <w:t>沪伦通为两地发行人和投资者提供了进入对方市场投融资的便利渠道，是继</w:t>
      </w:r>
      <w:r>
        <w:rPr>
          <w:lang w:eastAsia="zh-CN"/>
        </w:rPr>
        <w:t>2014</w:t>
      </w:r>
      <w:r>
        <w:rPr>
          <w:lang w:eastAsia="zh-CN"/>
        </w:rPr>
        <w:t>年沪港通开通后，境内</w:t>
      </w:r>
      <w:r>
        <w:rPr>
          <w:lang w:eastAsia="zh-CN"/>
        </w:rPr>
        <w:t>外交易所互联互通模式的又一创新。上交所希望，沪伦通西向业务的开通能够为更多境内上市公司拓展国际业务、提升国际知名度提供支持。与此同时，东向业务潜在发行人和市场机构正在积极咨询有关规则，发掘市场机遇，上交所期待沪伦通早日实现双向开通。</w:t>
      </w:r>
    </w:p>
    <w:p w:rsidR="000136F6" w:rsidRDefault="00E556BD">
      <w:pPr>
        <w:pStyle w:val="BodyText"/>
      </w:pPr>
      <w:hyperlink r:id="rId10">
        <w:r>
          <w:t>http://www.sse.com.cn/aboutus/mediacenter/h</w:t>
        </w:r>
        <w:r>
          <w:t>otandd/c/c_20190617_4840394.shtml</w:t>
        </w:r>
      </w:hyperlink>
    </w:p>
    <w:p w:rsidR="000136F6" w:rsidRDefault="00E556BD">
      <w:pPr>
        <w:pStyle w:val="Heading3"/>
        <w:rPr>
          <w:lang w:eastAsia="zh-CN"/>
        </w:rPr>
      </w:pPr>
      <w:bookmarkStart w:id="5" w:name="央行银保监会首次发布小微企业金融服务白皮书"/>
      <w:r>
        <w:rPr>
          <w:lang w:eastAsia="zh-CN"/>
        </w:rPr>
        <w:t>央行、银保监会首次发布小微企业金融服务白皮书</w:t>
      </w:r>
      <w:bookmarkEnd w:id="5"/>
    </w:p>
    <w:p w:rsidR="000136F6" w:rsidRDefault="00E556BD">
      <w:pPr>
        <w:pStyle w:val="FirstParagraph"/>
        <w:rPr>
          <w:lang w:eastAsia="zh-CN"/>
        </w:rPr>
      </w:pPr>
      <w:r>
        <w:rPr>
          <w:lang w:eastAsia="zh-CN"/>
        </w:rPr>
        <w:t>中国人民银行、中国银保监会共同发布《中国小微企业金融服务报告（</w:t>
      </w:r>
      <w:r>
        <w:rPr>
          <w:lang w:eastAsia="zh-CN"/>
        </w:rPr>
        <w:t>2018</w:t>
      </w:r>
      <w:r>
        <w:rPr>
          <w:lang w:eastAsia="zh-CN"/>
        </w:rPr>
        <w:t>）》（以下简称</w:t>
      </w:r>
      <w:r>
        <w:rPr>
          <w:lang w:eastAsia="zh-CN"/>
        </w:rPr>
        <w:t>“</w:t>
      </w:r>
      <w:r>
        <w:rPr>
          <w:lang w:eastAsia="zh-CN"/>
        </w:rPr>
        <w:t>白皮书</w:t>
      </w:r>
      <w:r>
        <w:rPr>
          <w:lang w:eastAsia="zh-CN"/>
        </w:rPr>
        <w:t>”</w:t>
      </w:r>
      <w:r>
        <w:rPr>
          <w:lang w:eastAsia="zh-CN"/>
        </w:rPr>
        <w:t>）。</w:t>
      </w:r>
    </w:p>
    <w:p w:rsidR="000136F6" w:rsidRDefault="00E556BD">
      <w:pPr>
        <w:pStyle w:val="BodyText"/>
        <w:rPr>
          <w:lang w:eastAsia="zh-CN"/>
        </w:rPr>
      </w:pPr>
      <w:r>
        <w:rPr>
          <w:lang w:eastAsia="zh-CN"/>
        </w:rPr>
        <w:t>白皮书全面总结梳理了</w:t>
      </w:r>
      <w:r>
        <w:rPr>
          <w:lang w:eastAsia="zh-CN"/>
        </w:rPr>
        <w:t>2018</w:t>
      </w:r>
      <w:r>
        <w:rPr>
          <w:lang w:eastAsia="zh-CN"/>
        </w:rPr>
        <w:t>年各相关部门和金融机构在金融服务小微企业方面的主要工作和成效。</w:t>
      </w:r>
    </w:p>
    <w:p w:rsidR="000136F6" w:rsidRDefault="00E556BD">
      <w:pPr>
        <w:pStyle w:val="BodyText"/>
        <w:rPr>
          <w:lang w:eastAsia="zh-CN"/>
        </w:rPr>
      </w:pPr>
      <w:r>
        <w:rPr>
          <w:lang w:eastAsia="zh-CN"/>
        </w:rPr>
        <w:t>白皮书对于改进小微企业金融服务提出了</w:t>
      </w:r>
      <w:r>
        <w:rPr>
          <w:lang w:eastAsia="zh-CN"/>
        </w:rPr>
        <w:t>8</w:t>
      </w:r>
      <w:r>
        <w:rPr>
          <w:lang w:eastAsia="zh-CN"/>
        </w:rPr>
        <w:t>项建议，即贯彻落实</w:t>
      </w:r>
      <w:r>
        <w:rPr>
          <w:lang w:eastAsia="zh-CN"/>
        </w:rPr>
        <w:t>“</w:t>
      </w:r>
      <w:r>
        <w:rPr>
          <w:lang w:eastAsia="zh-CN"/>
        </w:rPr>
        <w:t>竞争中性</w:t>
      </w:r>
      <w:r>
        <w:rPr>
          <w:lang w:eastAsia="zh-CN"/>
        </w:rPr>
        <w:t>”</w:t>
      </w:r>
      <w:r>
        <w:rPr>
          <w:lang w:eastAsia="zh-CN"/>
        </w:rPr>
        <w:t>原则，消除融资隐性壁垒；坚持市场化和商业可持续原则，进一步优化小微企业金融资源配置；深化金融供给侧结构性改革，完善金融服务体系和传导机制；</w:t>
      </w:r>
      <w:r>
        <w:rPr>
          <w:lang w:eastAsia="zh-CN"/>
        </w:rPr>
        <w:t>发展多层次资本市场，拓宽小微企业资本补充渠道；加强政策支持，增强金融机构服务小微企业的能力；加强金融科技运用，提升小微企业金融服务效率；加强信息共享，持续优化社会信用体系；加强规范引导，增强小微企业自身素质和融资能力。</w:t>
      </w:r>
    </w:p>
    <w:p w:rsidR="000136F6" w:rsidRDefault="00E556BD">
      <w:pPr>
        <w:pStyle w:val="BodyText"/>
      </w:pPr>
      <w:hyperlink r:id="rId11">
        <w:r>
          <w:t>http://xw.sinoins.com/2019-06/25/content_295662.htm</w:t>
        </w:r>
      </w:hyperlink>
    </w:p>
    <w:p w:rsidR="000136F6" w:rsidRDefault="00E556BD">
      <w:pPr>
        <w:pStyle w:val="Heading3"/>
        <w:rPr>
          <w:lang w:eastAsia="zh-CN"/>
        </w:rPr>
      </w:pPr>
      <w:bookmarkStart w:id="6" w:name="第三批科创基金首日销售平稳-一只一日售罄"/>
      <w:r>
        <w:rPr>
          <w:lang w:eastAsia="zh-CN"/>
        </w:rPr>
        <w:t>第三批科创基金首日销售平稳</w:t>
      </w:r>
      <w:r>
        <w:rPr>
          <w:lang w:eastAsia="zh-CN"/>
        </w:rPr>
        <w:t xml:space="preserve"> </w:t>
      </w:r>
      <w:r>
        <w:rPr>
          <w:lang w:eastAsia="zh-CN"/>
        </w:rPr>
        <w:t>一只</w:t>
      </w:r>
      <w:r>
        <w:rPr>
          <w:lang w:eastAsia="zh-CN"/>
        </w:rPr>
        <w:t>“</w:t>
      </w:r>
      <w:r>
        <w:rPr>
          <w:lang w:eastAsia="zh-CN"/>
        </w:rPr>
        <w:t>一日售罄</w:t>
      </w:r>
      <w:r>
        <w:rPr>
          <w:lang w:eastAsia="zh-CN"/>
        </w:rPr>
        <w:t>”</w:t>
      </w:r>
      <w:bookmarkEnd w:id="6"/>
    </w:p>
    <w:p w:rsidR="000136F6" w:rsidRDefault="00E556BD">
      <w:pPr>
        <w:pStyle w:val="FirstParagraph"/>
        <w:rPr>
          <w:lang w:eastAsia="zh-CN"/>
        </w:rPr>
      </w:pPr>
      <w:r>
        <w:rPr>
          <w:lang w:eastAsia="zh-CN"/>
        </w:rPr>
        <w:t>6</w:t>
      </w:r>
      <w:r>
        <w:rPr>
          <w:lang w:eastAsia="zh-CN"/>
        </w:rPr>
        <w:t>月</w:t>
      </w:r>
      <w:r>
        <w:rPr>
          <w:lang w:eastAsia="zh-CN"/>
        </w:rPr>
        <w:t>24</w:t>
      </w:r>
      <w:r>
        <w:rPr>
          <w:lang w:eastAsia="zh-CN"/>
        </w:rPr>
        <w:t>日，第三批科创基金正式</w:t>
      </w:r>
      <w:r>
        <w:rPr>
          <w:lang w:eastAsia="zh-CN"/>
        </w:rPr>
        <w:t>“</w:t>
      </w:r>
      <w:r>
        <w:rPr>
          <w:lang w:eastAsia="zh-CN"/>
        </w:rPr>
        <w:t>开卖</w:t>
      </w:r>
      <w:r>
        <w:rPr>
          <w:lang w:eastAsia="zh-CN"/>
        </w:rPr>
        <w:t>”</w:t>
      </w:r>
      <w:r>
        <w:rPr>
          <w:lang w:eastAsia="zh-CN"/>
        </w:rPr>
        <w:t>。博时、银华、大成、中金、中欧、财通等基金公司旗下科创基金携手发售，银行、券商、第三方销售机构代销全部打开。</w:t>
      </w:r>
    </w:p>
    <w:p w:rsidR="000136F6" w:rsidRDefault="00E556BD">
      <w:pPr>
        <w:pStyle w:val="BodyText"/>
        <w:rPr>
          <w:lang w:eastAsia="zh-CN"/>
        </w:rPr>
      </w:pPr>
      <w:r>
        <w:rPr>
          <w:lang w:eastAsia="zh-CN"/>
        </w:rPr>
        <w:t>发售当日，博时科创主题基金达到</w:t>
      </w:r>
      <w:r>
        <w:rPr>
          <w:lang w:eastAsia="zh-CN"/>
        </w:rPr>
        <w:t>10</w:t>
      </w:r>
      <w:r>
        <w:rPr>
          <w:lang w:eastAsia="zh-CN"/>
        </w:rPr>
        <w:t>亿元的销售上限，实现</w:t>
      </w:r>
      <w:r>
        <w:rPr>
          <w:lang w:eastAsia="zh-CN"/>
        </w:rPr>
        <w:t>“</w:t>
      </w:r>
      <w:r>
        <w:rPr>
          <w:lang w:eastAsia="zh-CN"/>
        </w:rPr>
        <w:t>一日售罄</w:t>
      </w:r>
      <w:r>
        <w:rPr>
          <w:lang w:eastAsia="zh-CN"/>
        </w:rPr>
        <w:t>”</w:t>
      </w:r>
      <w:r>
        <w:rPr>
          <w:lang w:eastAsia="zh-CN"/>
        </w:rPr>
        <w:t>，另有</w:t>
      </w:r>
      <w:r>
        <w:rPr>
          <w:lang w:eastAsia="zh-CN"/>
        </w:rPr>
        <w:t>3</w:t>
      </w:r>
      <w:r>
        <w:rPr>
          <w:lang w:eastAsia="zh-CN"/>
        </w:rPr>
        <w:t>家旗下科创基金首日销售规模在</w:t>
      </w:r>
      <w:r>
        <w:rPr>
          <w:lang w:eastAsia="zh-CN"/>
        </w:rPr>
        <w:t>5</w:t>
      </w:r>
      <w:r>
        <w:rPr>
          <w:lang w:eastAsia="zh-CN"/>
        </w:rPr>
        <w:t>亿元上下，剩余</w:t>
      </w:r>
      <w:r>
        <w:rPr>
          <w:lang w:eastAsia="zh-CN"/>
        </w:rPr>
        <w:t>2</w:t>
      </w:r>
      <w:r>
        <w:rPr>
          <w:lang w:eastAsia="zh-CN"/>
        </w:rPr>
        <w:t>家销量较低。相比于首批科创基金的火爆配售、第二批基金多数</w:t>
      </w:r>
      <w:r>
        <w:rPr>
          <w:lang w:eastAsia="zh-CN"/>
        </w:rPr>
        <w:t>“</w:t>
      </w:r>
      <w:r>
        <w:rPr>
          <w:lang w:eastAsia="zh-CN"/>
        </w:rPr>
        <w:t>一日售罄</w:t>
      </w:r>
      <w:r>
        <w:rPr>
          <w:lang w:eastAsia="zh-CN"/>
        </w:rPr>
        <w:t>”</w:t>
      </w:r>
      <w:r>
        <w:rPr>
          <w:lang w:eastAsia="zh-CN"/>
        </w:rPr>
        <w:t>，第三批科创基金销售总体较为平稳。</w:t>
      </w:r>
    </w:p>
    <w:p w:rsidR="000136F6" w:rsidRDefault="00E556BD">
      <w:pPr>
        <w:pStyle w:val="BodyText"/>
        <w:rPr>
          <w:lang w:eastAsia="zh-CN"/>
        </w:rPr>
      </w:pPr>
      <w:r>
        <w:rPr>
          <w:lang w:eastAsia="zh-CN"/>
        </w:rPr>
        <w:t>事实上，第三批科创基金为了提升产品竞争力，部分基金采取了更有优惠的费率安排。如中金基金费率就比较实惠，认购金额在</w:t>
      </w:r>
      <w:r>
        <w:rPr>
          <w:lang w:eastAsia="zh-CN"/>
        </w:rPr>
        <w:t>100</w:t>
      </w:r>
      <w:r>
        <w:rPr>
          <w:lang w:eastAsia="zh-CN"/>
        </w:rPr>
        <w:t>万以下，认购费为</w:t>
      </w:r>
      <w:r>
        <w:rPr>
          <w:lang w:eastAsia="zh-CN"/>
        </w:rPr>
        <w:t>0.6</w:t>
      </w:r>
      <w:r>
        <w:rPr>
          <w:lang w:eastAsia="zh-CN"/>
        </w:rPr>
        <w:t>%</w:t>
      </w:r>
      <w:r>
        <w:rPr>
          <w:lang w:eastAsia="zh-CN"/>
        </w:rPr>
        <w:t>，管理费为</w:t>
      </w:r>
      <w:r>
        <w:rPr>
          <w:lang w:eastAsia="zh-CN"/>
        </w:rPr>
        <w:t>1%</w:t>
      </w:r>
      <w:r>
        <w:rPr>
          <w:lang w:eastAsia="zh-CN"/>
        </w:rPr>
        <w:t>。而此前此类基金认购费率最高一档达到</w:t>
      </w:r>
      <w:r>
        <w:rPr>
          <w:lang w:eastAsia="zh-CN"/>
        </w:rPr>
        <w:t>1.2%</w:t>
      </w:r>
      <w:r>
        <w:rPr>
          <w:lang w:eastAsia="zh-CN"/>
        </w:rPr>
        <w:t>，封闭期内管理费的费率多为</w:t>
      </w:r>
      <w:r>
        <w:rPr>
          <w:lang w:eastAsia="zh-CN"/>
        </w:rPr>
        <w:t>1.5%</w:t>
      </w:r>
      <w:r>
        <w:rPr>
          <w:lang w:eastAsia="zh-CN"/>
        </w:rPr>
        <w:t>。</w:t>
      </w:r>
    </w:p>
    <w:p w:rsidR="000136F6" w:rsidRDefault="00E556BD">
      <w:pPr>
        <w:pStyle w:val="BodyText"/>
      </w:pPr>
      <w:hyperlink r:id="rId12">
        <w:r>
          <w:t>http://kcb.stcn.com/2019/0625/15206017.shtml</w:t>
        </w:r>
      </w:hyperlink>
    </w:p>
    <w:p w:rsidR="000136F6" w:rsidRDefault="00E556BD">
      <w:pPr>
        <w:pStyle w:val="Heading3"/>
        <w:rPr>
          <w:lang w:eastAsia="zh-CN"/>
        </w:rPr>
      </w:pPr>
      <w:bookmarkStart w:id="7" w:name="证监会发布公开募集证券投资基金参与转融通证券出借业务指引试行"/>
      <w:r>
        <w:rPr>
          <w:lang w:eastAsia="zh-CN"/>
        </w:rPr>
        <w:t>证监会发布《公开募集证券投资基金参与转融通证券出借业务指引（试行）》</w:t>
      </w:r>
      <w:bookmarkEnd w:id="7"/>
    </w:p>
    <w:p w:rsidR="000136F6" w:rsidRDefault="00E556BD">
      <w:pPr>
        <w:pStyle w:val="FirstParagraph"/>
        <w:rPr>
          <w:lang w:eastAsia="zh-CN"/>
        </w:rPr>
      </w:pPr>
      <w:r>
        <w:rPr>
          <w:lang w:eastAsia="zh-CN"/>
        </w:rPr>
        <w:t>为配合科创板的顺利推出，完善资本市场融券机制，规范公募基金参与转融通证券出借业务（以下简称出借业务）的行为，证监会近日发布《公开募集证券投资基金参与转融通证券出借业务指引（试行）》（以下简称《指引》），自公布之日起施行。</w:t>
      </w:r>
    </w:p>
    <w:p w:rsidR="000136F6" w:rsidRDefault="00E556BD">
      <w:pPr>
        <w:pStyle w:val="BodyText"/>
        <w:rPr>
          <w:lang w:eastAsia="zh-CN"/>
        </w:rPr>
      </w:pPr>
      <w:r>
        <w:rPr>
          <w:lang w:eastAsia="zh-CN"/>
        </w:rPr>
        <w:t>《指引》主要包括以下内容：一是明确公募基金参与出借业务的基本原则以及业务参与各方的主体责任；二是明确公募基金参与出借业务的定义和性质；三是规定具体的产品类型及投资比例，强化流动性风险管控，并要求基金管理人加强信用风险以及关联交易管理；四是明确相关估值核算、信息披露、法律文件等方面的要求。</w:t>
      </w:r>
    </w:p>
    <w:p w:rsidR="000136F6" w:rsidRDefault="00E556BD">
      <w:pPr>
        <w:pStyle w:val="BodyText"/>
        <w:rPr>
          <w:lang w:eastAsia="zh-CN"/>
        </w:rPr>
      </w:pPr>
      <w:r>
        <w:rPr>
          <w:lang w:eastAsia="zh-CN"/>
        </w:rPr>
        <w:lastRenderedPageBreak/>
        <w:t>下一步，证监会将依法加强对公募基金参与出借业务的监管，保护基金投资者的合法权益，促进公募基金行业长期健康发展。</w:t>
      </w:r>
    </w:p>
    <w:p w:rsidR="000136F6" w:rsidRDefault="00E556BD">
      <w:pPr>
        <w:pStyle w:val="BodyText"/>
      </w:pPr>
      <w:hyperlink r:id="rId13">
        <w:r>
          <w:t>http://www.csrc.gov.cn/pub/newsite/zjhxwfb/xwdd/201906/t20190621_357637.html</w:t>
        </w:r>
      </w:hyperlink>
    </w:p>
    <w:p w:rsidR="000136F6" w:rsidRDefault="00E556BD">
      <w:pPr>
        <w:pStyle w:val="Heading3"/>
        <w:rPr>
          <w:lang w:eastAsia="zh-CN"/>
        </w:rPr>
      </w:pPr>
      <w:bookmarkStart w:id="8" w:name="垃圾分类将推行相关概念股热炒"/>
      <w:r>
        <w:rPr>
          <w:lang w:eastAsia="zh-CN"/>
        </w:rPr>
        <w:t>垃圾分类将推行，相关概念股热炒</w:t>
      </w:r>
      <w:bookmarkEnd w:id="8"/>
    </w:p>
    <w:p w:rsidR="000136F6" w:rsidRDefault="00E556BD">
      <w:pPr>
        <w:pStyle w:val="FirstParagraph"/>
        <w:rPr>
          <w:lang w:eastAsia="zh-CN"/>
        </w:rPr>
      </w:pPr>
      <w:r>
        <w:rPr>
          <w:lang w:eastAsia="zh-CN"/>
        </w:rPr>
        <w:t>6</w:t>
      </w:r>
      <w:r>
        <w:rPr>
          <w:lang w:eastAsia="zh-CN"/>
        </w:rPr>
        <w:t>月</w:t>
      </w:r>
      <w:r>
        <w:rPr>
          <w:lang w:eastAsia="zh-CN"/>
        </w:rPr>
        <w:t>25</w:t>
      </w:r>
      <w:r>
        <w:rPr>
          <w:lang w:eastAsia="zh-CN"/>
        </w:rPr>
        <w:t>日，固体废物污</w:t>
      </w:r>
      <w:r>
        <w:rPr>
          <w:lang w:eastAsia="zh-CN"/>
        </w:rPr>
        <w:t>染环境防治法修订草案初次提请全国人大常委会审议。草案对</w:t>
      </w:r>
      <w:r>
        <w:rPr>
          <w:lang w:eastAsia="zh-CN"/>
        </w:rPr>
        <w:t>“</w:t>
      </w:r>
      <w:r>
        <w:rPr>
          <w:lang w:eastAsia="zh-CN"/>
        </w:rPr>
        <w:t>生活垃圾污染环境的防治</w:t>
      </w:r>
      <w:r>
        <w:rPr>
          <w:lang w:eastAsia="zh-CN"/>
        </w:rPr>
        <w:t>”</w:t>
      </w:r>
      <w:r>
        <w:rPr>
          <w:lang w:eastAsia="zh-CN"/>
        </w:rPr>
        <w:t>进行了专章规定，提出，国家推行生活垃圾分类制度。同时，《上海市生活垃圾管理条例》将于</w:t>
      </w:r>
      <w:r>
        <w:rPr>
          <w:lang w:eastAsia="zh-CN"/>
        </w:rPr>
        <w:t>7</w:t>
      </w:r>
      <w:r>
        <w:rPr>
          <w:lang w:eastAsia="zh-CN"/>
        </w:rPr>
        <w:t>月</w:t>
      </w:r>
      <w:r>
        <w:rPr>
          <w:lang w:eastAsia="zh-CN"/>
        </w:rPr>
        <w:t>1</w:t>
      </w:r>
      <w:r>
        <w:rPr>
          <w:lang w:eastAsia="zh-CN"/>
        </w:rPr>
        <w:t>日施行。</w:t>
      </w:r>
    </w:p>
    <w:p w:rsidR="000136F6" w:rsidRDefault="00E556BD">
      <w:pPr>
        <w:pStyle w:val="BodyText"/>
        <w:rPr>
          <w:lang w:eastAsia="zh-CN"/>
        </w:rPr>
      </w:pPr>
      <w:r>
        <w:rPr>
          <w:lang w:eastAsia="zh-CN"/>
        </w:rPr>
        <w:t>生活垃圾分类即将入法，资本市场的垃圾分类概念股也受到追捧。龙马环卫、维尔利、绿色动力，上周</w:t>
      </w:r>
      <w:r>
        <w:rPr>
          <w:lang w:eastAsia="zh-CN"/>
        </w:rPr>
        <w:t>5</w:t>
      </w:r>
      <w:r>
        <w:rPr>
          <w:lang w:eastAsia="zh-CN"/>
        </w:rPr>
        <w:t>个交易日内分别上涨</w:t>
      </w:r>
      <w:r>
        <w:rPr>
          <w:lang w:eastAsia="zh-CN"/>
        </w:rPr>
        <w:t>44.20%</w:t>
      </w:r>
      <w:r>
        <w:rPr>
          <w:lang w:eastAsia="zh-CN"/>
        </w:rPr>
        <w:t>、</w:t>
      </w:r>
      <w:r>
        <w:rPr>
          <w:lang w:eastAsia="zh-CN"/>
        </w:rPr>
        <w:t>35.90%</w:t>
      </w:r>
      <w:r>
        <w:rPr>
          <w:lang w:eastAsia="zh-CN"/>
        </w:rPr>
        <w:t>、</w:t>
      </w:r>
      <w:r>
        <w:rPr>
          <w:lang w:eastAsia="zh-CN"/>
        </w:rPr>
        <w:t>34.40%</w:t>
      </w:r>
      <w:r>
        <w:rPr>
          <w:lang w:eastAsia="zh-CN"/>
        </w:rPr>
        <w:t>。截至</w:t>
      </w:r>
      <w:r>
        <w:rPr>
          <w:lang w:eastAsia="zh-CN"/>
        </w:rPr>
        <w:t>6</w:t>
      </w:r>
      <w:r>
        <w:rPr>
          <w:lang w:eastAsia="zh-CN"/>
        </w:rPr>
        <w:t>月</w:t>
      </w:r>
      <w:r>
        <w:rPr>
          <w:lang w:eastAsia="zh-CN"/>
        </w:rPr>
        <w:t>25</w:t>
      </w:r>
      <w:r>
        <w:rPr>
          <w:lang w:eastAsia="zh-CN"/>
        </w:rPr>
        <w:t>日收盘，绿色动力再次涨停，龙马环卫股价上涨</w:t>
      </w:r>
      <w:r>
        <w:rPr>
          <w:lang w:eastAsia="zh-CN"/>
        </w:rPr>
        <w:t>4.55%</w:t>
      </w:r>
      <w:r>
        <w:rPr>
          <w:lang w:eastAsia="zh-CN"/>
        </w:rPr>
        <w:t>；维尔利股价下跌</w:t>
      </w:r>
      <w:r>
        <w:rPr>
          <w:lang w:eastAsia="zh-CN"/>
        </w:rPr>
        <w:t>7.78%</w:t>
      </w:r>
      <w:r>
        <w:rPr>
          <w:lang w:eastAsia="zh-CN"/>
        </w:rPr>
        <w:t>。</w:t>
      </w:r>
    </w:p>
    <w:p w:rsidR="000136F6" w:rsidRDefault="00E556BD">
      <w:pPr>
        <w:pStyle w:val="BodyText"/>
        <w:rPr>
          <w:lang w:eastAsia="zh-CN"/>
        </w:rPr>
      </w:pPr>
      <w:r>
        <w:rPr>
          <w:lang w:eastAsia="zh-CN"/>
        </w:rPr>
        <w:t>有观点认为，随着垃圾分类立法进程不断加速，全国地级以上城市将全面启动垃圾分类工作，垃圾</w:t>
      </w:r>
      <w:r>
        <w:rPr>
          <w:lang w:eastAsia="zh-CN"/>
        </w:rPr>
        <w:t>分类热度空前，同时拉动前端制造、中端收运、后端处置等固废产业链，多板块收益，市场关注度不断提升。固废全产业链市场空间有望达到千亿元，行业市场有足够大的想象空间；但这个行业的模式、技术等等尚需要不断进化。</w:t>
      </w:r>
    </w:p>
    <w:p w:rsidR="000136F6" w:rsidRDefault="00E556BD">
      <w:pPr>
        <w:pStyle w:val="BodyText"/>
      </w:pPr>
      <w:hyperlink r:id="rId14">
        <w:r>
          <w:t>http://www.xinhuanet.com/fortune/2019-06/26/c_1210170297.htm</w:t>
        </w:r>
      </w:hyperlink>
    </w:p>
    <w:p w:rsidR="000136F6" w:rsidRDefault="00E556BD">
      <w:pPr>
        <w:pStyle w:val="Heading2"/>
        <w:rPr>
          <w:lang w:eastAsia="zh-CN"/>
        </w:rPr>
      </w:pPr>
      <w:bookmarkStart w:id="9" w:name="保险"/>
      <w:r>
        <w:rPr>
          <w:lang w:eastAsia="zh-CN"/>
        </w:rPr>
        <w:t>保险</w:t>
      </w:r>
      <w:bookmarkEnd w:id="9"/>
    </w:p>
    <w:p w:rsidR="000136F6" w:rsidRDefault="00E556BD">
      <w:pPr>
        <w:pStyle w:val="Heading3"/>
        <w:rPr>
          <w:lang w:eastAsia="zh-CN"/>
        </w:rPr>
      </w:pPr>
      <w:bookmarkStart w:id="10" w:name="中国保险行业协会发布首个核保险行业标准"/>
      <w:r>
        <w:rPr>
          <w:lang w:eastAsia="zh-CN"/>
        </w:rPr>
        <w:t>中国保险行业协会发布首个核保险行业标准</w:t>
      </w:r>
      <w:bookmarkEnd w:id="10"/>
    </w:p>
    <w:p w:rsidR="000136F6" w:rsidRDefault="00E556BD">
      <w:pPr>
        <w:pStyle w:val="FirstParagraph"/>
        <w:rPr>
          <w:lang w:eastAsia="zh-CN"/>
        </w:rPr>
      </w:pPr>
      <w:r>
        <w:rPr>
          <w:lang w:eastAsia="zh-CN"/>
        </w:rPr>
        <w:t>6</w:t>
      </w:r>
      <w:r>
        <w:rPr>
          <w:lang w:eastAsia="zh-CN"/>
        </w:rPr>
        <w:t>月</w:t>
      </w:r>
      <w:r>
        <w:rPr>
          <w:lang w:eastAsia="zh-CN"/>
        </w:rPr>
        <w:t>26</w:t>
      </w:r>
      <w:r>
        <w:rPr>
          <w:lang w:eastAsia="zh-CN"/>
        </w:rPr>
        <w:t>日，中国保险行业协会（以下简称保险业协会）发布我国首个核保险行业标准</w:t>
      </w:r>
      <w:r>
        <w:rPr>
          <w:lang w:eastAsia="zh-CN"/>
        </w:rPr>
        <w:t>——</w:t>
      </w:r>
      <w:r>
        <w:rPr>
          <w:lang w:eastAsia="zh-CN"/>
        </w:rPr>
        <w:t>《核保险风险评估工作指引》（中英文版），以及《企业财产保险公估作业规范》、《机器损坏保险公估作业规范》和《建筑工程（一切）险公估作业规范》三项公估作业标准。</w:t>
      </w:r>
    </w:p>
    <w:p w:rsidR="000136F6" w:rsidRDefault="00E556BD">
      <w:pPr>
        <w:pStyle w:val="BodyText"/>
        <w:rPr>
          <w:lang w:eastAsia="zh-CN"/>
        </w:rPr>
      </w:pPr>
      <w:r>
        <w:rPr>
          <w:lang w:eastAsia="zh-CN"/>
        </w:rPr>
        <w:t>此次发布的《核保险风险评估工作指引》标准是我国首个核保险行业标准，由中国财产再保险有限责任公司牵头制定，主要包含范围、术语与定义、评估总体框架、评估操作、评估报告五个部分。为核保险行业的风险评估服务提供了规范化、标准化的服务流程与标准</w:t>
      </w:r>
      <w:r>
        <w:rPr>
          <w:lang w:eastAsia="zh-CN"/>
        </w:rPr>
        <w:t>，对已营运和即将投入营运的核设施，从评估目的、评估领域、评估人员、评估流程和评估操作等多个方面对风险评估工作进行规范。</w:t>
      </w:r>
    </w:p>
    <w:p w:rsidR="000136F6" w:rsidRDefault="00E556BD">
      <w:pPr>
        <w:pStyle w:val="BodyText"/>
        <w:rPr>
          <w:lang w:eastAsia="zh-CN"/>
        </w:rPr>
      </w:pPr>
      <w:r>
        <w:rPr>
          <w:lang w:eastAsia="zh-CN"/>
        </w:rPr>
        <w:t>另外三项公估作业标准分别是《企业财产保险公估作业规范》、《机器损坏保险公估作业规范》、《建筑工程（一切）险公估作业规范》，聚焦于企业财产、机器损坏和建筑工程三大财产险险种的保险公估作业流程。由民太安财产保险公估股份有限公司牵头制定，对三大险种保险公估的现场查勘、事故原因分析、保险责任分析及建议、损失核定、损失理算、报告编制等方面提供了重要参考依据，填补了保险公估行业一直没有统一标准的空白。</w:t>
      </w:r>
    </w:p>
    <w:p w:rsidR="000136F6" w:rsidRDefault="00E556BD">
      <w:pPr>
        <w:pStyle w:val="BodyText"/>
      </w:pPr>
      <w:hyperlink r:id="rId15">
        <w:r>
          <w:t>https://finance.sina.com.cn/money/insurance/bxdt/2019-06-26/doc-ihytcerk9372707.shtml</w:t>
        </w:r>
      </w:hyperlink>
    </w:p>
    <w:p w:rsidR="000136F6" w:rsidRDefault="00E556BD">
      <w:pPr>
        <w:pStyle w:val="Heading2"/>
        <w:rPr>
          <w:lang w:eastAsia="zh-CN"/>
        </w:rPr>
      </w:pPr>
      <w:bookmarkStart w:id="11" w:name="税收"/>
      <w:r>
        <w:rPr>
          <w:lang w:eastAsia="zh-CN"/>
        </w:rPr>
        <w:t>税收</w:t>
      </w:r>
      <w:bookmarkEnd w:id="11"/>
    </w:p>
    <w:p w:rsidR="000136F6" w:rsidRDefault="00E556BD">
      <w:pPr>
        <w:pStyle w:val="Heading3"/>
        <w:rPr>
          <w:lang w:eastAsia="zh-CN"/>
        </w:rPr>
      </w:pPr>
      <w:bookmarkStart w:id="12" w:name="财政部税务总局联合发布关于个人取得有关收入适用个人所得税应税所得项目的公告"/>
      <w:r>
        <w:rPr>
          <w:lang w:eastAsia="zh-CN"/>
        </w:rPr>
        <w:t>财政部、税务总局联合发布《关于个人取得有关收入适用个人所得税应税所得项目的公告》</w:t>
      </w:r>
      <w:bookmarkEnd w:id="12"/>
    </w:p>
    <w:p w:rsidR="000136F6" w:rsidRDefault="00E556BD">
      <w:pPr>
        <w:pStyle w:val="FirstParagraph"/>
        <w:rPr>
          <w:lang w:eastAsia="zh-CN"/>
        </w:rPr>
      </w:pPr>
      <w:r>
        <w:rPr>
          <w:lang w:eastAsia="zh-CN"/>
        </w:rPr>
        <w:t>财政部、税务总局联合发布《关于个人取得有</w:t>
      </w:r>
      <w:r>
        <w:rPr>
          <w:lang w:eastAsia="zh-CN"/>
        </w:rPr>
        <w:t>关收入适用个人所得税应税所得项目的公告》（以下简称《公告》），对偶然所得、税延型养老金收入，适用的个税项目予以明确。</w:t>
      </w:r>
    </w:p>
    <w:p w:rsidR="000136F6" w:rsidRDefault="00E556BD">
      <w:pPr>
        <w:pStyle w:val="BodyText"/>
        <w:rPr>
          <w:lang w:eastAsia="zh-CN"/>
        </w:rPr>
      </w:pPr>
      <w:r>
        <w:rPr>
          <w:lang w:eastAsia="zh-CN"/>
        </w:rPr>
        <w:lastRenderedPageBreak/>
        <w:t>2018</w:t>
      </w:r>
      <w:r>
        <w:rPr>
          <w:lang w:eastAsia="zh-CN"/>
        </w:rPr>
        <w:t>年个人所得税法修改后，取消了</w:t>
      </w:r>
      <w:r>
        <w:rPr>
          <w:lang w:eastAsia="zh-CN"/>
        </w:rPr>
        <w:t xml:space="preserve"> “</w:t>
      </w:r>
      <w:r>
        <w:rPr>
          <w:lang w:eastAsia="zh-CN"/>
        </w:rPr>
        <w:t>国务院财政部门确定征税的其他所得</w:t>
      </w:r>
      <w:r>
        <w:rPr>
          <w:lang w:eastAsia="zh-CN"/>
        </w:rPr>
        <w:t xml:space="preserve">” </w:t>
      </w:r>
      <w:r>
        <w:rPr>
          <w:lang w:eastAsia="zh-CN"/>
        </w:rPr>
        <w:t>项目（以下简称</w:t>
      </w:r>
      <w:r>
        <w:rPr>
          <w:lang w:eastAsia="zh-CN"/>
        </w:rPr>
        <w:t xml:space="preserve"> “</w:t>
      </w:r>
      <w:r>
        <w:rPr>
          <w:lang w:eastAsia="zh-CN"/>
        </w:rPr>
        <w:t>其他所得</w:t>
      </w:r>
      <w:r>
        <w:rPr>
          <w:lang w:eastAsia="zh-CN"/>
        </w:rPr>
        <w:t xml:space="preserve">” </w:t>
      </w:r>
      <w:r>
        <w:rPr>
          <w:lang w:eastAsia="zh-CN"/>
        </w:rPr>
        <w:t>），《公告》对原税法下按</w:t>
      </w:r>
      <w:r>
        <w:rPr>
          <w:lang w:eastAsia="zh-CN"/>
        </w:rPr>
        <w:t xml:space="preserve"> “</w:t>
      </w:r>
      <w:r>
        <w:rPr>
          <w:lang w:eastAsia="zh-CN"/>
        </w:rPr>
        <w:t>其他所得</w:t>
      </w:r>
      <w:r>
        <w:rPr>
          <w:lang w:eastAsia="zh-CN"/>
        </w:rPr>
        <w:t xml:space="preserve">” </w:t>
      </w:r>
      <w:r>
        <w:rPr>
          <w:lang w:eastAsia="zh-CN"/>
        </w:rPr>
        <w:t>项目征税的有关收入调整了适用的应税所得项目，同时，《财政部国家税务总局关于银行部门以超过国家利率支付给储户的揽储奖金征收个人所得税问题的批复》等</w:t>
      </w:r>
      <w:r>
        <w:rPr>
          <w:lang w:eastAsia="zh-CN"/>
        </w:rPr>
        <w:t>11</w:t>
      </w:r>
      <w:r>
        <w:rPr>
          <w:lang w:eastAsia="zh-CN"/>
        </w:rPr>
        <w:t>项文件或文件条款废止。公告自</w:t>
      </w:r>
      <w:r>
        <w:rPr>
          <w:lang w:eastAsia="zh-CN"/>
        </w:rPr>
        <w:t>2019</w:t>
      </w:r>
      <w:r>
        <w:rPr>
          <w:lang w:eastAsia="zh-CN"/>
        </w:rPr>
        <w:t>年</w:t>
      </w:r>
      <w:r>
        <w:rPr>
          <w:lang w:eastAsia="zh-CN"/>
        </w:rPr>
        <w:t>1</w:t>
      </w:r>
      <w:r>
        <w:rPr>
          <w:lang w:eastAsia="zh-CN"/>
        </w:rPr>
        <w:t>月</w:t>
      </w:r>
      <w:r>
        <w:rPr>
          <w:lang w:eastAsia="zh-CN"/>
        </w:rPr>
        <w:t>1</w:t>
      </w:r>
      <w:r>
        <w:rPr>
          <w:lang w:eastAsia="zh-CN"/>
        </w:rPr>
        <w:t>日起执行。</w:t>
      </w:r>
    </w:p>
    <w:p w:rsidR="000136F6" w:rsidRDefault="00E556BD">
      <w:pPr>
        <w:pStyle w:val="BodyText"/>
        <w:rPr>
          <w:lang w:eastAsia="zh-CN"/>
        </w:rPr>
      </w:pPr>
      <w:r>
        <w:rPr>
          <w:lang w:eastAsia="zh-CN"/>
        </w:rPr>
        <w:t>公告将部分原按</w:t>
      </w:r>
      <w:r>
        <w:rPr>
          <w:lang w:eastAsia="zh-CN"/>
        </w:rPr>
        <w:t>“</w:t>
      </w:r>
      <w:r>
        <w:rPr>
          <w:lang w:eastAsia="zh-CN"/>
        </w:rPr>
        <w:t>其他所得</w:t>
      </w:r>
      <w:r>
        <w:rPr>
          <w:lang w:eastAsia="zh-CN"/>
        </w:rPr>
        <w:t>”</w:t>
      </w:r>
      <w:r>
        <w:rPr>
          <w:lang w:eastAsia="zh-CN"/>
        </w:rPr>
        <w:t>征税的项目调整为按</w:t>
      </w:r>
      <w:r>
        <w:rPr>
          <w:lang w:eastAsia="zh-CN"/>
        </w:rPr>
        <w:t>照</w:t>
      </w:r>
      <w:r>
        <w:rPr>
          <w:lang w:eastAsia="zh-CN"/>
        </w:rPr>
        <w:t>“</w:t>
      </w:r>
      <w:r>
        <w:rPr>
          <w:lang w:eastAsia="zh-CN"/>
        </w:rPr>
        <w:t>偶然所得</w:t>
      </w:r>
      <w:r>
        <w:rPr>
          <w:lang w:eastAsia="zh-CN"/>
        </w:rPr>
        <w:t>”</w:t>
      </w:r>
      <w:r>
        <w:rPr>
          <w:lang w:eastAsia="zh-CN"/>
        </w:rPr>
        <w:t>项目征税，税率仍为</w:t>
      </w:r>
      <w:r>
        <w:rPr>
          <w:lang w:eastAsia="zh-CN"/>
        </w:rPr>
        <w:t>20%</w:t>
      </w:r>
      <w:r>
        <w:rPr>
          <w:lang w:eastAsia="zh-CN"/>
        </w:rPr>
        <w:t>，具体项目包括：</w:t>
      </w:r>
      <w:r>
        <w:rPr>
          <w:lang w:eastAsia="zh-CN"/>
        </w:rPr>
        <w:t>1.</w:t>
      </w:r>
      <w:r>
        <w:rPr>
          <w:lang w:eastAsia="zh-CN"/>
        </w:rPr>
        <w:t>个人为单位或他人提供担保获得报酬；</w:t>
      </w:r>
      <w:r>
        <w:rPr>
          <w:lang w:eastAsia="zh-CN"/>
        </w:rPr>
        <w:t xml:space="preserve">2. </w:t>
      </w:r>
      <w:r>
        <w:rPr>
          <w:lang w:eastAsia="zh-CN"/>
        </w:rPr>
        <w:t>受赠人因无偿受赠房屋取得的受赠收入，但符合《财政部</w:t>
      </w:r>
      <w:r>
        <w:rPr>
          <w:lang w:eastAsia="zh-CN"/>
        </w:rPr>
        <w:t xml:space="preserve"> </w:t>
      </w:r>
      <w:r>
        <w:rPr>
          <w:lang w:eastAsia="zh-CN"/>
        </w:rPr>
        <w:t>国家税务总局关于个人无偿受赠房屋有关个人所得税问题的通知》（财税〔</w:t>
      </w:r>
      <w:r>
        <w:rPr>
          <w:lang w:eastAsia="zh-CN"/>
        </w:rPr>
        <w:t>2009</w:t>
      </w:r>
      <w:r>
        <w:rPr>
          <w:lang w:eastAsia="zh-CN"/>
        </w:rPr>
        <w:t>〕</w:t>
      </w:r>
      <w:r>
        <w:rPr>
          <w:lang w:eastAsia="zh-CN"/>
        </w:rPr>
        <w:t>78</w:t>
      </w:r>
      <w:r>
        <w:rPr>
          <w:lang w:eastAsia="zh-CN"/>
        </w:rPr>
        <w:t>号）第一条规定的情形，对当事双方不征收个人所得税，包括：一是房屋产权所有人将房屋产权无偿赠与配偶、父母、子女、祖父母、外祖父母、孙子女、外孙子女、兄弟姐妹，二是房屋产权所有人将房屋产权无偿赠与对其承担直接抚养或者赡养义务的抚养人或者赡养人，三是房屋产权所有人死亡，依法取得房屋产权的</w:t>
      </w:r>
      <w:r>
        <w:rPr>
          <w:lang w:eastAsia="zh-CN"/>
        </w:rPr>
        <w:t>法定继承人、遗嘱继承人或者受遗赠人；</w:t>
      </w:r>
      <w:r>
        <w:rPr>
          <w:lang w:eastAsia="zh-CN"/>
        </w:rPr>
        <w:t xml:space="preserve">3. </w:t>
      </w:r>
      <w:r>
        <w:rPr>
          <w:lang w:eastAsia="zh-CN"/>
        </w:rPr>
        <w:t>企业在业务宣传、广告等活动中，随机向本单位以外的个人赠送礼品（包括网络红包），以及企业在年会、座谈会、庆典以及其他活动中向本单位以外的个人赠送礼品，但企业赠送的具有价格折扣或折让性质的消费券、代金券、抵用券、优惠券等礼品除外。公告还将税收递延型商业养老保险的养老金收入所征税款由计入</w:t>
      </w:r>
      <w:r>
        <w:rPr>
          <w:lang w:eastAsia="zh-CN"/>
        </w:rPr>
        <w:t>“</w:t>
      </w:r>
      <w:r>
        <w:rPr>
          <w:lang w:eastAsia="zh-CN"/>
        </w:rPr>
        <w:t>其他所得</w:t>
      </w:r>
      <w:r>
        <w:rPr>
          <w:lang w:eastAsia="zh-CN"/>
        </w:rPr>
        <w:t>”</w:t>
      </w:r>
      <w:r>
        <w:rPr>
          <w:lang w:eastAsia="zh-CN"/>
        </w:rPr>
        <w:t>项目调整为计入</w:t>
      </w:r>
      <w:r>
        <w:rPr>
          <w:lang w:eastAsia="zh-CN"/>
        </w:rPr>
        <w:t>“</w:t>
      </w:r>
      <w:r>
        <w:rPr>
          <w:lang w:eastAsia="zh-CN"/>
        </w:rPr>
        <w:t>工资、薪金所得</w:t>
      </w:r>
      <w:r>
        <w:rPr>
          <w:lang w:eastAsia="zh-CN"/>
        </w:rPr>
        <w:t>”</w:t>
      </w:r>
      <w:r>
        <w:rPr>
          <w:lang w:eastAsia="zh-CN"/>
        </w:rPr>
        <w:t>项目，但税负不变。</w:t>
      </w:r>
    </w:p>
    <w:p w:rsidR="000136F6" w:rsidRDefault="00E556BD">
      <w:pPr>
        <w:pStyle w:val="BodyText"/>
        <w:rPr>
          <w:lang w:eastAsia="zh-CN"/>
        </w:rPr>
      </w:pPr>
      <w:r>
        <w:rPr>
          <w:lang w:eastAsia="zh-CN"/>
        </w:rPr>
        <w:t>《公告》同时废止了六项原按</w:t>
      </w:r>
      <w:r>
        <w:rPr>
          <w:lang w:eastAsia="zh-CN"/>
        </w:rPr>
        <w:t>“</w:t>
      </w:r>
      <w:r>
        <w:rPr>
          <w:lang w:eastAsia="zh-CN"/>
        </w:rPr>
        <w:t>其他所得</w:t>
      </w:r>
      <w:r>
        <w:rPr>
          <w:lang w:eastAsia="zh-CN"/>
        </w:rPr>
        <w:t>”</w:t>
      </w:r>
      <w:r>
        <w:rPr>
          <w:lang w:eastAsia="zh-CN"/>
        </w:rPr>
        <w:t>征税的规定。</w:t>
      </w:r>
    </w:p>
    <w:p w:rsidR="000136F6" w:rsidRDefault="00E556BD">
      <w:pPr>
        <w:pStyle w:val="BodyText"/>
      </w:pPr>
      <w:hyperlink r:id="rId16">
        <w:r>
          <w:t>http://szs.mof.gov.cn/zhengwuxinxi/zhengcefabu/201906/t20190625_3284467.html</w:t>
        </w:r>
      </w:hyperlink>
    </w:p>
    <w:p w:rsidR="000136F6" w:rsidRDefault="00E556BD">
      <w:pPr>
        <w:pStyle w:val="Heading2"/>
      </w:pPr>
      <w:bookmarkStart w:id="13" w:name="知产"/>
      <w:r>
        <w:t>知产</w:t>
      </w:r>
      <w:bookmarkEnd w:id="13"/>
    </w:p>
    <w:p w:rsidR="000136F6" w:rsidRDefault="00E556BD">
      <w:pPr>
        <w:pStyle w:val="Heading3"/>
        <w:rPr>
          <w:lang w:eastAsia="zh-CN"/>
        </w:rPr>
      </w:pPr>
      <w:bookmarkStart w:id="14" w:name="最高法加强对科创板上市公司知识产权司法保护力度"/>
      <w:r>
        <w:rPr>
          <w:lang w:eastAsia="zh-CN"/>
        </w:rPr>
        <w:t>最高法：加强对科创板上市公司知识产权司法保护力度</w:t>
      </w:r>
      <w:bookmarkEnd w:id="14"/>
    </w:p>
    <w:p w:rsidR="000136F6" w:rsidRDefault="00E556BD">
      <w:pPr>
        <w:pStyle w:val="FirstParagraph"/>
        <w:rPr>
          <w:lang w:eastAsia="zh-CN"/>
        </w:rPr>
      </w:pPr>
      <w:r>
        <w:rPr>
          <w:lang w:eastAsia="zh-CN"/>
        </w:rPr>
        <w:t>最高法举办新闻发布会，发布《关于为设立科创板并试点注册制改革提供司法保障的若干意见》。意见指出，依法审理涉科创板上市公司的专利权、技术合同等知识产权案件，对于涉及科技创新的知识产权侵</w:t>
      </w:r>
      <w:r>
        <w:rPr>
          <w:lang w:eastAsia="zh-CN"/>
        </w:rPr>
        <w:t>权行为，加大赔偿力度，充分体现科技成果的市场价值，对情节严重的恶意侵权行为，要依法判令其承担惩罚性的赔偿责任。</w:t>
      </w:r>
    </w:p>
    <w:p w:rsidR="000136F6" w:rsidRDefault="00E556BD">
      <w:pPr>
        <w:pStyle w:val="BodyText"/>
      </w:pPr>
      <w:hyperlink r:id="rId17">
        <w:r>
          <w:t>http://www.chinanews.com/fortune/2019/06-21/8871477.shtml</w:t>
        </w:r>
      </w:hyperlink>
    </w:p>
    <w:p w:rsidR="000136F6" w:rsidRDefault="00E556BD">
      <w:pPr>
        <w:pStyle w:val="Heading3"/>
        <w:rPr>
          <w:lang w:eastAsia="zh-CN"/>
        </w:rPr>
      </w:pPr>
      <w:bookmarkStart w:id="15" w:name="华为已获全球50个5g商用合同"/>
      <w:r>
        <w:rPr>
          <w:lang w:eastAsia="zh-CN"/>
        </w:rPr>
        <w:t>华为已获全球</w:t>
      </w:r>
      <w:r>
        <w:rPr>
          <w:lang w:eastAsia="zh-CN"/>
        </w:rPr>
        <w:t>50</w:t>
      </w:r>
      <w:r>
        <w:rPr>
          <w:lang w:eastAsia="zh-CN"/>
        </w:rPr>
        <w:t>个</w:t>
      </w:r>
      <w:r>
        <w:rPr>
          <w:lang w:eastAsia="zh-CN"/>
        </w:rPr>
        <w:t>5G</w:t>
      </w:r>
      <w:r>
        <w:rPr>
          <w:lang w:eastAsia="zh-CN"/>
        </w:rPr>
        <w:t>商用合同</w:t>
      </w:r>
      <w:bookmarkEnd w:id="15"/>
    </w:p>
    <w:p w:rsidR="000136F6" w:rsidRDefault="00E556BD">
      <w:pPr>
        <w:pStyle w:val="FirstParagraph"/>
        <w:rPr>
          <w:lang w:eastAsia="zh-CN"/>
        </w:rPr>
      </w:pPr>
      <w:r>
        <w:rPr>
          <w:lang w:eastAsia="zh-CN"/>
        </w:rPr>
        <w:t>华为在全球范围已签署了</w:t>
      </w:r>
      <w:r>
        <w:rPr>
          <w:lang w:eastAsia="zh-CN"/>
        </w:rPr>
        <w:t>50</w:t>
      </w:r>
      <w:r>
        <w:rPr>
          <w:lang w:eastAsia="zh-CN"/>
        </w:rPr>
        <w:t>份</w:t>
      </w:r>
      <w:r>
        <w:rPr>
          <w:lang w:eastAsia="zh-CN"/>
        </w:rPr>
        <w:t>5G</w:t>
      </w:r>
      <w:r>
        <w:rPr>
          <w:lang w:eastAsia="zh-CN"/>
        </w:rPr>
        <w:t>商用合同，</w:t>
      </w:r>
      <w:r>
        <w:rPr>
          <w:lang w:eastAsia="zh-CN"/>
        </w:rPr>
        <w:t>5G</w:t>
      </w:r>
      <w:r>
        <w:rPr>
          <w:lang w:eastAsia="zh-CN"/>
        </w:rPr>
        <w:t>基站全球出货量超过</w:t>
      </w:r>
      <w:r>
        <w:rPr>
          <w:lang w:eastAsia="zh-CN"/>
        </w:rPr>
        <w:t>15</w:t>
      </w:r>
      <w:r>
        <w:rPr>
          <w:lang w:eastAsia="zh-CN"/>
        </w:rPr>
        <w:t>万个。</w:t>
      </w:r>
    </w:p>
    <w:p w:rsidR="000136F6" w:rsidRDefault="00E556BD">
      <w:pPr>
        <w:pStyle w:val="BodyText"/>
        <w:rPr>
          <w:lang w:eastAsia="zh-CN"/>
        </w:rPr>
      </w:pPr>
      <w:r>
        <w:rPr>
          <w:lang w:eastAsia="zh-CN"/>
        </w:rPr>
        <w:t>5G</w:t>
      </w:r>
      <w:r>
        <w:rPr>
          <w:lang w:eastAsia="zh-CN"/>
        </w:rPr>
        <w:t>商用全球加速，上半年韩国、英国、瑞士、意大利、科威特等多个国家完成</w:t>
      </w:r>
      <w:r>
        <w:rPr>
          <w:lang w:eastAsia="zh-CN"/>
        </w:rPr>
        <w:t>5G</w:t>
      </w:r>
      <w:r>
        <w:rPr>
          <w:lang w:eastAsia="zh-CN"/>
        </w:rPr>
        <w:t>商用发布，其中有三分之二是由华为协助其构建的；千行百业正在拥抱</w:t>
      </w:r>
      <w:r>
        <w:rPr>
          <w:lang w:eastAsia="zh-CN"/>
        </w:rPr>
        <w:t>5G</w:t>
      </w:r>
      <w:r>
        <w:rPr>
          <w:lang w:eastAsia="zh-CN"/>
        </w:rPr>
        <w:t>，而</w:t>
      </w:r>
      <w:r>
        <w:rPr>
          <w:lang w:eastAsia="zh-CN"/>
        </w:rPr>
        <w:t>5G</w:t>
      </w:r>
      <w:r>
        <w:rPr>
          <w:lang w:eastAsia="zh-CN"/>
        </w:rPr>
        <w:t>也在快速推动经济社会的全面数字化转型及社会效率的提升。</w:t>
      </w:r>
    </w:p>
    <w:p w:rsidR="000136F6" w:rsidRDefault="00E556BD">
      <w:pPr>
        <w:pStyle w:val="BodyText"/>
        <w:rPr>
          <w:lang w:eastAsia="zh-CN"/>
        </w:rPr>
      </w:pPr>
      <w:r>
        <w:rPr>
          <w:lang w:eastAsia="zh-CN"/>
        </w:rPr>
        <w:t>韩国</w:t>
      </w:r>
      <w:r>
        <w:rPr>
          <w:lang w:eastAsia="zh-CN"/>
        </w:rPr>
        <w:t>5G</w:t>
      </w:r>
      <w:r>
        <w:rPr>
          <w:lang w:eastAsia="zh-CN"/>
        </w:rPr>
        <w:t>商用两个月时间，用户已达到</w:t>
      </w:r>
      <w:r>
        <w:rPr>
          <w:lang w:eastAsia="zh-CN"/>
        </w:rPr>
        <w:t>100</w:t>
      </w:r>
      <w:r>
        <w:rPr>
          <w:lang w:eastAsia="zh-CN"/>
        </w:rPr>
        <w:t>万，平均日流量消耗高达</w:t>
      </w:r>
      <w:r>
        <w:rPr>
          <w:lang w:eastAsia="zh-CN"/>
        </w:rPr>
        <w:t>1.3GB</w:t>
      </w:r>
      <w:r>
        <w:rPr>
          <w:lang w:eastAsia="zh-CN"/>
        </w:rPr>
        <w:t>；相比</w:t>
      </w:r>
      <w:r>
        <w:rPr>
          <w:lang w:eastAsia="zh-CN"/>
        </w:rPr>
        <w:t>4G</w:t>
      </w:r>
      <w:r>
        <w:rPr>
          <w:lang w:eastAsia="zh-CN"/>
        </w:rPr>
        <w:t>、</w:t>
      </w:r>
      <w:r>
        <w:rPr>
          <w:lang w:eastAsia="zh-CN"/>
        </w:rPr>
        <w:t>5G</w:t>
      </w:r>
      <w:r>
        <w:rPr>
          <w:lang w:eastAsia="zh-CN"/>
        </w:rPr>
        <w:t>的平均ARPU</w:t>
      </w:r>
      <w:r>
        <w:rPr>
          <w:rFonts w:asciiTheme="minorEastAsia" w:eastAsiaTheme="minorEastAsia" w:hAnsiTheme="minorEastAsia" w:hint="eastAsia"/>
          <w:lang w:eastAsia="zh-CN"/>
        </w:rPr>
        <w:t>（</w:t>
      </w:r>
      <w:r>
        <w:rPr>
          <w:lang w:eastAsia="zh-CN"/>
        </w:rPr>
        <w:t>一个时间段内运营商从每个用户所得到的收入</w:t>
      </w:r>
      <w:r>
        <w:rPr>
          <w:rFonts w:asciiTheme="minorEastAsia" w:eastAsiaTheme="minorEastAsia" w:hAnsiTheme="minorEastAsia" w:hint="eastAsia"/>
          <w:lang w:eastAsia="zh-CN"/>
        </w:rPr>
        <w:t>）</w:t>
      </w:r>
      <w:r>
        <w:rPr>
          <w:lang w:eastAsia="zh-CN"/>
        </w:rPr>
        <w:t>值提升了</w:t>
      </w:r>
      <w:r>
        <w:rPr>
          <w:lang w:eastAsia="zh-CN"/>
        </w:rPr>
        <w:t>75%</w:t>
      </w:r>
      <w:r>
        <w:rPr>
          <w:lang w:eastAsia="zh-CN"/>
        </w:rPr>
        <w:t>，同时每</w:t>
      </w:r>
      <w:r>
        <w:rPr>
          <w:lang w:eastAsia="zh-CN"/>
        </w:rPr>
        <w:t>GB</w:t>
      </w:r>
      <w:r>
        <w:rPr>
          <w:lang w:eastAsia="zh-CN"/>
        </w:rPr>
        <w:t>价格下降到</w:t>
      </w:r>
      <w:r>
        <w:rPr>
          <w:lang w:eastAsia="zh-CN"/>
        </w:rPr>
        <w:t>4G</w:t>
      </w:r>
      <w:r>
        <w:rPr>
          <w:lang w:eastAsia="zh-CN"/>
        </w:rPr>
        <w:t>的十分之一。</w:t>
      </w:r>
      <w:bookmarkStart w:id="16" w:name="_GoBack"/>
      <w:bookmarkEnd w:id="16"/>
    </w:p>
    <w:p w:rsidR="000136F6" w:rsidRDefault="00E556BD">
      <w:pPr>
        <w:pStyle w:val="BodyText"/>
        <w:rPr>
          <w:lang w:eastAsia="zh-CN"/>
        </w:rPr>
      </w:pPr>
      <w:r>
        <w:rPr>
          <w:lang w:eastAsia="zh-CN"/>
        </w:rPr>
        <w:t>当日，华为</w:t>
      </w:r>
      <w:r>
        <w:rPr>
          <w:lang w:eastAsia="zh-CN"/>
        </w:rPr>
        <w:t>5G</w:t>
      </w:r>
      <w:r>
        <w:rPr>
          <w:lang w:eastAsia="zh-CN"/>
        </w:rPr>
        <w:t xml:space="preserve">双模手机Mate </w:t>
      </w:r>
      <w:r>
        <w:rPr>
          <w:lang w:eastAsia="zh-CN"/>
        </w:rPr>
        <w:t>20X(5G)</w:t>
      </w:r>
      <w:r>
        <w:rPr>
          <w:lang w:eastAsia="zh-CN"/>
        </w:rPr>
        <w:t>获得国内首张</w:t>
      </w:r>
      <w:r>
        <w:rPr>
          <w:lang w:eastAsia="zh-CN"/>
        </w:rPr>
        <w:t>5G</w:t>
      </w:r>
      <w:r>
        <w:rPr>
          <w:lang w:eastAsia="zh-CN"/>
        </w:rPr>
        <w:t>终端电信设备进网许可，编号为</w:t>
      </w:r>
      <w:r>
        <w:rPr>
          <w:lang w:eastAsia="zh-CN"/>
        </w:rPr>
        <w:t>001</w:t>
      </w:r>
      <w:r>
        <w:rPr>
          <w:lang w:eastAsia="zh-CN"/>
        </w:rPr>
        <w:t>。这款手机搭</w:t>
      </w:r>
      <w:r>
        <w:rPr>
          <w:lang w:eastAsia="zh-CN"/>
        </w:rPr>
        <w:t>载的两款芯片都是华为自己的芯片。</w:t>
      </w:r>
    </w:p>
    <w:p w:rsidR="000136F6" w:rsidRDefault="00E556BD">
      <w:pPr>
        <w:pStyle w:val="BodyText"/>
      </w:pPr>
      <w:hyperlink r:id="rId18">
        <w:r>
          <w:t>http://www.chinanews.com/it/2019/06-25/8874837.shtml</w:t>
        </w:r>
      </w:hyperlink>
    </w:p>
    <w:p w:rsidR="000136F6" w:rsidRDefault="00E556BD">
      <w:pPr>
        <w:pStyle w:val="Heading3"/>
        <w:rPr>
          <w:lang w:eastAsia="zh-CN"/>
        </w:rPr>
      </w:pPr>
      <w:bookmarkStart w:id="17" w:name="海尔百度iotai领域专利合作签约"/>
      <w:r>
        <w:rPr>
          <w:lang w:eastAsia="zh-CN"/>
        </w:rPr>
        <w:t>海尔</w:t>
      </w:r>
      <w:r>
        <w:rPr>
          <w:lang w:eastAsia="zh-CN"/>
        </w:rPr>
        <w:t>&amp;</w:t>
      </w:r>
      <w:r>
        <w:rPr>
          <w:lang w:eastAsia="zh-CN"/>
        </w:rPr>
        <w:t>百度</w:t>
      </w:r>
      <w:r>
        <w:rPr>
          <w:lang w:eastAsia="zh-CN"/>
        </w:rPr>
        <w:t>IoT+AI</w:t>
      </w:r>
      <w:r>
        <w:rPr>
          <w:lang w:eastAsia="zh-CN"/>
        </w:rPr>
        <w:t>领域专利合作签约</w:t>
      </w:r>
      <w:bookmarkEnd w:id="17"/>
    </w:p>
    <w:p w:rsidR="000136F6" w:rsidRDefault="00E556BD">
      <w:pPr>
        <w:pStyle w:val="FirstParagraph"/>
        <w:rPr>
          <w:lang w:eastAsia="zh-CN"/>
        </w:rPr>
      </w:pPr>
      <w:r>
        <w:rPr>
          <w:lang w:eastAsia="zh-CN"/>
        </w:rPr>
        <w:t>“</w:t>
      </w:r>
      <w:r>
        <w:rPr>
          <w:lang w:eastAsia="zh-CN"/>
        </w:rPr>
        <w:t>海尔智家</w:t>
      </w:r>
      <w:r>
        <w:rPr>
          <w:lang w:eastAsia="zh-CN"/>
        </w:rPr>
        <w:t>”</w:t>
      </w:r>
      <w:r>
        <w:rPr>
          <w:lang w:eastAsia="zh-CN"/>
        </w:rPr>
        <w:t>与百度在</w:t>
      </w:r>
      <w:r>
        <w:rPr>
          <w:lang w:eastAsia="zh-CN"/>
        </w:rPr>
        <w:t>IOT</w:t>
      </w:r>
      <w:r>
        <w:rPr>
          <w:lang w:eastAsia="zh-CN"/>
        </w:rPr>
        <w:t>与</w:t>
      </w:r>
      <w:r>
        <w:rPr>
          <w:lang w:eastAsia="zh-CN"/>
        </w:rPr>
        <w:t>AI</w:t>
      </w:r>
      <w:r>
        <w:rPr>
          <w:lang w:eastAsia="zh-CN"/>
        </w:rPr>
        <w:t>领域展开知识产权合作，并现场签订专利合作许可合约。此次海尔和百度的知识产权合作，为中国家电行业的科技创新、知识产权保护提供了模式探索的实践典范。</w:t>
      </w:r>
    </w:p>
    <w:p w:rsidR="000136F6" w:rsidRDefault="00E556BD">
      <w:pPr>
        <w:pStyle w:val="BodyText"/>
      </w:pPr>
      <w:hyperlink r:id="rId19">
        <w:r>
          <w:t>http://www.chinanews.com/business/2019/06-25/8874225.shtml</w:t>
        </w:r>
      </w:hyperlink>
    </w:p>
    <w:p w:rsidR="000136F6" w:rsidRDefault="00E556BD">
      <w:pPr>
        <w:pStyle w:val="Heading2"/>
        <w:rPr>
          <w:lang w:eastAsia="zh-CN"/>
        </w:rPr>
      </w:pPr>
      <w:bookmarkStart w:id="18" w:name="行业"/>
      <w:r>
        <w:rPr>
          <w:lang w:eastAsia="zh-CN"/>
        </w:rPr>
        <w:t>行业</w:t>
      </w:r>
      <w:bookmarkEnd w:id="18"/>
    </w:p>
    <w:p w:rsidR="000136F6" w:rsidRDefault="00E556BD">
      <w:pPr>
        <w:pStyle w:val="Heading3"/>
        <w:rPr>
          <w:lang w:eastAsia="zh-CN"/>
        </w:rPr>
      </w:pPr>
      <w:bookmarkStart w:id="19" w:name="国务院确定进一步降低小微企业融资实际利率措施"/>
      <w:r>
        <w:rPr>
          <w:lang w:eastAsia="zh-CN"/>
        </w:rPr>
        <w:t>国务院确定进一步降低小微企业融资实际利率措施</w:t>
      </w:r>
      <w:bookmarkEnd w:id="19"/>
    </w:p>
    <w:p w:rsidR="000136F6" w:rsidRDefault="00E556BD">
      <w:pPr>
        <w:pStyle w:val="FirstParagraph"/>
        <w:rPr>
          <w:lang w:eastAsia="zh-CN"/>
        </w:rPr>
      </w:pPr>
      <w:r>
        <w:rPr>
          <w:lang w:eastAsia="zh-CN"/>
        </w:rPr>
        <w:t>国务院总理李克强</w:t>
      </w:r>
      <w:r>
        <w:rPr>
          <w:lang w:eastAsia="zh-CN"/>
        </w:rPr>
        <w:t>6</w:t>
      </w:r>
      <w:r>
        <w:rPr>
          <w:lang w:eastAsia="zh-CN"/>
        </w:rPr>
        <w:t>月</w:t>
      </w:r>
      <w:r>
        <w:rPr>
          <w:lang w:eastAsia="zh-CN"/>
        </w:rPr>
        <w:t>26</w:t>
      </w:r>
      <w:r>
        <w:rPr>
          <w:lang w:eastAsia="zh-CN"/>
        </w:rPr>
        <w:t>日主持召开国务院常务会议，确定进一步降低小微企业融资实际利率的措施，决定开展深化民营和小微企业金融服务综合改革试点；部署支持扩大知识产权质押融资和制造业信贷投放，促进创新和</w:t>
      </w:r>
      <w:r>
        <w:rPr>
          <w:lang w:eastAsia="zh-CN"/>
        </w:rPr>
        <w:t>实体经济发展；决定扩大高职院校奖助学金覆盖面、提高补助标准并设立中等职业教育国家奖学金。</w:t>
      </w:r>
    </w:p>
    <w:p w:rsidR="000136F6" w:rsidRDefault="00E556BD">
      <w:pPr>
        <w:pStyle w:val="BodyText"/>
        <w:rPr>
          <w:lang w:eastAsia="zh-CN"/>
        </w:rPr>
      </w:pPr>
      <w:r>
        <w:rPr>
          <w:lang w:eastAsia="zh-CN"/>
        </w:rPr>
        <w:t>会议指出，要坚持实施稳健的货币政策，保持松紧适度，并根据国际国内形势变化适时预调微调，保持流动性合理充裕，确保小微企业贷款实际利率进一步降低。一是深化利率市场化改革，完善商业银行贷款市场报价利率机制，更好发挥贷款市场报价利率在实际利率形成中的引导作用，推动银行降低贷款附加费用，确保小微企业融资成本下降。二是支持中小微企业通过债券、票据等融资。完善商业银行服务小微企业监管考核办法，提高银行对小微企业贷款能力。三是实施好小</w:t>
      </w:r>
      <w:r>
        <w:rPr>
          <w:lang w:eastAsia="zh-CN"/>
        </w:rPr>
        <w:t>微企业融资担保降费奖补政策，发挥国家融资担保基金作用，降低再担保费率，引导担保收费标准进一步降低。会议还决定，中央财政采取以奖代补方式，支持部分城市开展为期</w:t>
      </w:r>
      <w:r>
        <w:rPr>
          <w:lang w:eastAsia="zh-CN"/>
        </w:rPr>
        <w:t>3</w:t>
      </w:r>
      <w:r>
        <w:rPr>
          <w:lang w:eastAsia="zh-CN"/>
        </w:rPr>
        <w:t>年的深化民营和小微企业金融服务综合改革试点，在扩大民营和小微企业融资规模、提高便利度、降低融资成本、完善风险补偿机制、金融服务创新等方面进行探索，引导更多金融资源支小助微。</w:t>
      </w:r>
    </w:p>
    <w:p w:rsidR="000136F6" w:rsidRDefault="00E556BD">
      <w:pPr>
        <w:pStyle w:val="BodyText"/>
        <w:rPr>
          <w:lang w:eastAsia="zh-CN"/>
        </w:rPr>
      </w:pPr>
      <w:r>
        <w:rPr>
          <w:lang w:eastAsia="zh-CN"/>
        </w:rPr>
        <w:t>会议还要求，支持扩大知识产权质押融资，以拓宽企业特别是民营小微企业、</w:t>
      </w:r>
      <w:r>
        <w:rPr>
          <w:lang w:eastAsia="zh-CN"/>
        </w:rPr>
        <w:t>“</w:t>
      </w:r>
      <w:r>
        <w:rPr>
          <w:lang w:eastAsia="zh-CN"/>
        </w:rPr>
        <w:t>双创</w:t>
      </w:r>
      <w:r>
        <w:rPr>
          <w:lang w:eastAsia="zh-CN"/>
        </w:rPr>
        <w:t>”</w:t>
      </w:r>
      <w:r>
        <w:rPr>
          <w:lang w:eastAsia="zh-CN"/>
        </w:rPr>
        <w:t>企业获得贷款渠道，推动缓解融资难。引导银行对知识产权质押贷款单列信贷计划和专项考核激励，不良率高于各项贷</w:t>
      </w:r>
      <w:r>
        <w:rPr>
          <w:lang w:eastAsia="zh-CN"/>
        </w:rPr>
        <w:t>款不良率</w:t>
      </w:r>
      <w:r>
        <w:rPr>
          <w:lang w:eastAsia="zh-CN"/>
        </w:rPr>
        <w:t>3</w:t>
      </w:r>
      <w:r>
        <w:rPr>
          <w:lang w:eastAsia="zh-CN"/>
        </w:rPr>
        <w:t>个百分点以内的，可不作为监管和考核扣分因素；探索打包组合质押，拓宽质押物范围和处置途径。会议同时要求，要调整优化贷款结构，引导加大制造业、服务业信贷投放。鼓励大型银行完善贷款考核机制、设置专项奖励，确保今年制造业全部贷款、中长期贷款和信用贷款的余额均明显高于上年。</w:t>
      </w:r>
    </w:p>
    <w:p w:rsidR="000136F6" w:rsidRDefault="00E556BD">
      <w:pPr>
        <w:pStyle w:val="BodyText"/>
      </w:pPr>
      <w:hyperlink r:id="rId20">
        <w:r>
          <w:t>http://news.stcn.com/2019/0627/15212025.shtml</w:t>
        </w:r>
      </w:hyperlink>
    </w:p>
    <w:p w:rsidR="000136F6" w:rsidRDefault="00E556BD">
      <w:pPr>
        <w:pStyle w:val="Heading3"/>
        <w:rPr>
          <w:lang w:eastAsia="zh-CN"/>
        </w:rPr>
      </w:pPr>
      <w:bookmarkStart w:id="20" w:name="海关总署清理取消证明事项92项"/>
      <w:r>
        <w:rPr>
          <w:lang w:eastAsia="zh-CN"/>
        </w:rPr>
        <w:t>海关总署清理取</w:t>
      </w:r>
      <w:r>
        <w:rPr>
          <w:lang w:eastAsia="zh-CN"/>
        </w:rPr>
        <w:t>消证明事项</w:t>
      </w:r>
      <w:r>
        <w:rPr>
          <w:lang w:eastAsia="zh-CN"/>
        </w:rPr>
        <w:t>92</w:t>
      </w:r>
      <w:r>
        <w:rPr>
          <w:lang w:eastAsia="zh-CN"/>
        </w:rPr>
        <w:t>项</w:t>
      </w:r>
      <w:bookmarkEnd w:id="20"/>
    </w:p>
    <w:p w:rsidR="000136F6" w:rsidRDefault="00E556BD">
      <w:pPr>
        <w:pStyle w:val="FirstParagraph"/>
        <w:rPr>
          <w:lang w:eastAsia="zh-CN"/>
        </w:rPr>
      </w:pPr>
      <w:r>
        <w:rPr>
          <w:lang w:eastAsia="zh-CN"/>
        </w:rPr>
        <w:t>为进一步优化公共服务和营商环境，削减制度性交易成本，海关总署下大力气清理证明事项，决定取消现有</w:t>
      </w:r>
      <w:r>
        <w:rPr>
          <w:lang w:eastAsia="zh-CN"/>
        </w:rPr>
        <w:t>116</w:t>
      </w:r>
      <w:r>
        <w:rPr>
          <w:lang w:eastAsia="zh-CN"/>
        </w:rPr>
        <w:t>项证明材料中的</w:t>
      </w:r>
      <w:r>
        <w:rPr>
          <w:lang w:eastAsia="zh-CN"/>
        </w:rPr>
        <w:t>92</w:t>
      </w:r>
      <w:r>
        <w:rPr>
          <w:lang w:eastAsia="zh-CN"/>
        </w:rPr>
        <w:t>项，取消数量占比近八成，没有法律法规设定依据的、非海关监管所必需的、可以通过联网核查或告知承诺等方式替代的以及海关可以自主验核或自行获取的，海关一律不再要求企业和群众现场交验有关证明材料。对于目前保留的</w:t>
      </w:r>
      <w:r>
        <w:rPr>
          <w:lang w:eastAsia="zh-CN"/>
        </w:rPr>
        <w:t>24</w:t>
      </w:r>
      <w:r>
        <w:rPr>
          <w:lang w:eastAsia="zh-CN"/>
        </w:rPr>
        <w:t>项证明材料，发证部门有统一数据库的，海关总署将主动与其进行沟通对接，力争通过联网核查方式或者</w:t>
      </w:r>
      <w:r>
        <w:rPr>
          <w:lang w:eastAsia="zh-CN"/>
        </w:rPr>
        <w:t>“</w:t>
      </w:r>
      <w:r>
        <w:rPr>
          <w:lang w:eastAsia="zh-CN"/>
        </w:rPr>
        <w:t>点对点</w:t>
      </w:r>
      <w:r>
        <w:rPr>
          <w:lang w:eastAsia="zh-CN"/>
        </w:rPr>
        <w:t>”</w:t>
      </w:r>
      <w:r>
        <w:rPr>
          <w:lang w:eastAsia="zh-CN"/>
        </w:rPr>
        <w:t>行政协助方式替代当事人现场交验，进一步简化作业手续。海关总署将适时公</w:t>
      </w:r>
      <w:r>
        <w:rPr>
          <w:lang w:eastAsia="zh-CN"/>
        </w:rPr>
        <w:t>布取消的证明事项清单。同时将上述清理原则作为今后新设证明事项的评价标尺，凡属于上述情形的，在制定规章和规范性文件中一律不得要求企业和群众现场交验，防止证明事项边减边增、明减暗增。</w:t>
      </w:r>
    </w:p>
    <w:p w:rsidR="000136F6" w:rsidRDefault="00E556BD">
      <w:pPr>
        <w:pStyle w:val="BodyText"/>
      </w:pPr>
      <w:hyperlink r:id="rId21">
        <w:r>
          <w:t>https://www.chinacourt.org/article/detail/2019/06/id/4102889.shtml</w:t>
        </w:r>
      </w:hyperlink>
    </w:p>
    <w:p w:rsidR="000136F6" w:rsidRDefault="00E556BD">
      <w:pPr>
        <w:pStyle w:val="Heading3"/>
        <w:rPr>
          <w:lang w:eastAsia="zh-CN"/>
        </w:rPr>
      </w:pPr>
      <w:bookmarkStart w:id="21" w:name="电商和快递数据互联共享将有章可循"/>
      <w:r>
        <w:rPr>
          <w:lang w:eastAsia="zh-CN"/>
        </w:rPr>
        <w:t>电商和快递数据互联共享将有</w:t>
      </w:r>
      <w:r>
        <w:rPr>
          <w:lang w:eastAsia="zh-CN"/>
        </w:rPr>
        <w:t>章可循</w:t>
      </w:r>
      <w:bookmarkEnd w:id="21"/>
    </w:p>
    <w:p w:rsidR="000136F6" w:rsidRDefault="00E556BD">
      <w:pPr>
        <w:pStyle w:val="FirstParagraph"/>
        <w:rPr>
          <w:lang w:eastAsia="zh-CN"/>
        </w:rPr>
      </w:pPr>
      <w:r>
        <w:rPr>
          <w:lang w:eastAsia="zh-CN"/>
        </w:rPr>
        <w:t>由国家邮政局、商务部共同制订的《关于规范快递与电子商务数据互联共享的指导意见》（以下简称《指导意见》）近日印发，明确提出，电商与快递在数据互联共享方面履行同等义务，确保用户信息安全，妥善存储使用用户数据。</w:t>
      </w:r>
    </w:p>
    <w:p w:rsidR="000136F6" w:rsidRDefault="00E556BD">
      <w:pPr>
        <w:pStyle w:val="BodyText"/>
        <w:rPr>
          <w:lang w:eastAsia="zh-CN"/>
        </w:rPr>
      </w:pPr>
      <w:r>
        <w:rPr>
          <w:lang w:eastAsia="zh-CN"/>
        </w:rPr>
        <w:t>《指导意见》对电子商务经营者和快递企业提出了同等的义务要求，支持电子商务经营者通过约定的信息传输方式及时将必要的寄递数据提供给经营快递业务的企业；支持经营快递业务的企业提供电子商务寄递服务时，通过约定的信息传输方式及时将必要的快件数据提供给电子商务经营</w:t>
      </w:r>
      <w:r>
        <w:rPr>
          <w:lang w:eastAsia="zh-CN"/>
        </w:rPr>
        <w:lastRenderedPageBreak/>
        <w:t>者。电子商务平台经营者不得通过限制数据互联共享，阻碍电子商务当事人自由选择快递服务；经营快递业务的企业不得通过限制数据互联共享，阻碍电子商务经营者获取为消费者提供服务所必需的快件数据。《指导意见》强调了对数据的管控和互联共享管理应当遵守法律、行政法规有关信息保</w:t>
      </w:r>
      <w:r>
        <w:rPr>
          <w:lang w:eastAsia="zh-CN"/>
        </w:rPr>
        <w:t>护的规定，不得用于与其提供寄递服务无关的用途，并要求妥善存储使用用户数据。</w:t>
      </w:r>
    </w:p>
    <w:p w:rsidR="000136F6" w:rsidRDefault="00E556BD">
      <w:pPr>
        <w:pStyle w:val="BodyText"/>
      </w:pPr>
      <w:hyperlink r:id="rId22">
        <w:r>
          <w:t>http://www.gov.cn/xinwen/2019-06/26/content_5403617.htm</w:t>
        </w:r>
      </w:hyperlink>
    </w:p>
    <w:p w:rsidR="000136F6" w:rsidRDefault="00E556BD">
      <w:pPr>
        <w:pStyle w:val="Heading3"/>
        <w:rPr>
          <w:lang w:eastAsia="zh-CN"/>
        </w:rPr>
      </w:pPr>
      <w:bookmarkStart w:id="22" w:name="最高法严厉打击干扰注册制改革的证券犯罪和金融腐败犯罪"/>
      <w:r>
        <w:rPr>
          <w:lang w:eastAsia="zh-CN"/>
        </w:rPr>
        <w:t>最高法：严厉打击干扰注册制改革的证券犯罪和金融腐败犯罪</w:t>
      </w:r>
      <w:bookmarkEnd w:id="22"/>
    </w:p>
    <w:p w:rsidR="000136F6" w:rsidRDefault="00E556BD">
      <w:pPr>
        <w:pStyle w:val="FirstParagraph"/>
        <w:rPr>
          <w:lang w:eastAsia="zh-CN"/>
        </w:rPr>
      </w:pPr>
      <w:r>
        <w:rPr>
          <w:lang w:eastAsia="zh-CN"/>
        </w:rPr>
        <w:t>最高法举办新闻发布会，发布《关于为设立科创板并试点注册制改革提供司法保障的若干意见》（以下简称《意见》）。《意见》对各</w:t>
      </w:r>
      <w:r>
        <w:rPr>
          <w:lang w:eastAsia="zh-CN"/>
        </w:rPr>
        <w:t>级法院严厉打击干扰注册制改革的证券犯罪和金融腐败犯罪提出了明确要求，发行人与中介机构合谋串通骗取发行注册，以及发行审核、注册工作人员以权谋私、收受贿赂或者接受利益输送的，要依法从严追究刑事责任。《意见》还提出，对于恶意骗取国家科技扶持资金或者政府纾困资金的企业和个人，要依法追究刑事责任。</w:t>
      </w:r>
    </w:p>
    <w:p w:rsidR="000136F6" w:rsidRDefault="00E556BD">
      <w:pPr>
        <w:pStyle w:val="BodyText"/>
      </w:pPr>
      <w:hyperlink r:id="rId23">
        <w:r>
          <w:t>http://www.chinanews.com/fortune/2</w:t>
        </w:r>
        <w:r>
          <w:t>019/06-21/8871483.shtml</w:t>
        </w:r>
      </w:hyperlink>
    </w:p>
    <w:p w:rsidR="000136F6" w:rsidRDefault="00E556BD">
      <w:pPr>
        <w:pStyle w:val="Heading3"/>
        <w:rPr>
          <w:lang w:eastAsia="zh-CN"/>
        </w:rPr>
      </w:pPr>
      <w:bookmarkStart w:id="23" w:name="第三批智慧健康养老应用试点示范工作启动"/>
      <w:r>
        <w:rPr>
          <w:lang w:eastAsia="zh-CN"/>
        </w:rPr>
        <w:t>第三批智慧健康养老应用试点示范工作启动</w:t>
      </w:r>
      <w:bookmarkEnd w:id="23"/>
    </w:p>
    <w:p w:rsidR="000136F6" w:rsidRDefault="00E556BD">
      <w:pPr>
        <w:pStyle w:val="FirstParagraph"/>
        <w:rPr>
          <w:lang w:eastAsia="zh-CN"/>
        </w:rPr>
      </w:pPr>
      <w:r>
        <w:rPr>
          <w:lang w:eastAsia="zh-CN"/>
        </w:rPr>
        <w:t>工信部、民政部、国家卫生健康委员会近日印发《关于开展第三批智慧健康养老应用试点示范的通知》，支持建设一批示范企业，包括能够提供成熟的智慧健康养老产品、服务、系统平台或整体解决方案的企业；支持建设一批示范街道（乡镇），包括应用多类智慧健康养老产品，利用信息化、智能化等技术手段，为辖区内居民提供智慧健康养老服务的街道或乡镇；支持建设一批示范基地。</w:t>
      </w:r>
    </w:p>
    <w:p w:rsidR="000136F6" w:rsidRDefault="00E556BD">
      <w:pPr>
        <w:pStyle w:val="BodyText"/>
      </w:pPr>
      <w:hyperlink r:id="rId24">
        <w:r>
          <w:t>http://kuaixun.stcn.com/2019/0625/15206659.shtml</w:t>
        </w:r>
      </w:hyperlink>
    </w:p>
    <w:p w:rsidR="000136F6" w:rsidRDefault="00E556BD">
      <w:pPr>
        <w:pStyle w:val="Heading2"/>
        <w:rPr>
          <w:lang w:eastAsia="zh-CN"/>
        </w:rPr>
      </w:pPr>
      <w:bookmarkStart w:id="24" w:name="并购"/>
      <w:r>
        <w:rPr>
          <w:lang w:eastAsia="zh-CN"/>
        </w:rPr>
        <w:t>并购</w:t>
      </w:r>
      <w:bookmarkEnd w:id="24"/>
    </w:p>
    <w:p w:rsidR="000136F6" w:rsidRDefault="00E556BD">
      <w:pPr>
        <w:pStyle w:val="Heading3"/>
        <w:rPr>
          <w:lang w:eastAsia="zh-CN"/>
        </w:rPr>
      </w:pPr>
      <w:bookmarkStart w:id="25" w:name="苏宁拟收购家乐福中国80股份-永辉超市终止投资家乐福中国"/>
      <w:r>
        <w:rPr>
          <w:lang w:eastAsia="zh-CN"/>
        </w:rPr>
        <w:t>苏宁拟收购家乐福中国</w:t>
      </w:r>
      <w:r>
        <w:rPr>
          <w:lang w:eastAsia="zh-CN"/>
        </w:rPr>
        <w:t>80%</w:t>
      </w:r>
      <w:r>
        <w:rPr>
          <w:lang w:eastAsia="zh-CN"/>
        </w:rPr>
        <w:t>股份，</w:t>
      </w:r>
      <w:r>
        <w:rPr>
          <w:lang w:eastAsia="zh-CN"/>
        </w:rPr>
        <w:t xml:space="preserve"> </w:t>
      </w:r>
      <w:r>
        <w:rPr>
          <w:lang w:eastAsia="zh-CN"/>
        </w:rPr>
        <w:t>永辉超市终止投资家乐福中国</w:t>
      </w:r>
      <w:bookmarkEnd w:id="25"/>
    </w:p>
    <w:p w:rsidR="000136F6" w:rsidRDefault="00E556BD">
      <w:pPr>
        <w:pStyle w:val="FirstParagraph"/>
        <w:rPr>
          <w:lang w:eastAsia="zh-CN"/>
        </w:rPr>
      </w:pPr>
      <w:r>
        <w:rPr>
          <w:lang w:eastAsia="zh-CN"/>
        </w:rPr>
        <w:t>6</w:t>
      </w:r>
      <w:r>
        <w:rPr>
          <w:lang w:eastAsia="zh-CN"/>
        </w:rPr>
        <w:t>月</w:t>
      </w:r>
      <w:r>
        <w:rPr>
          <w:lang w:eastAsia="zh-CN"/>
        </w:rPr>
        <w:t>23</w:t>
      </w:r>
      <w:r>
        <w:rPr>
          <w:lang w:eastAsia="zh-CN"/>
        </w:rPr>
        <w:t>日晚间，苏宁易购公告称，其公司全资子公司苏宁国际拟出资</w:t>
      </w:r>
      <w:r>
        <w:rPr>
          <w:lang w:eastAsia="zh-CN"/>
        </w:rPr>
        <w:t>48</w:t>
      </w:r>
      <w:r>
        <w:rPr>
          <w:lang w:eastAsia="zh-CN"/>
        </w:rPr>
        <w:t>亿元收购家乐福中国</w:t>
      </w:r>
      <w:r>
        <w:rPr>
          <w:lang w:eastAsia="zh-CN"/>
        </w:rPr>
        <w:t>80%</w:t>
      </w:r>
      <w:r>
        <w:rPr>
          <w:lang w:eastAsia="zh-CN"/>
        </w:rPr>
        <w:t>股份。公告中表示：</w:t>
      </w:r>
      <w:r>
        <w:rPr>
          <w:lang w:eastAsia="zh-CN"/>
        </w:rPr>
        <w:t>“</w:t>
      </w:r>
      <w:r>
        <w:rPr>
          <w:lang w:eastAsia="zh-CN"/>
        </w:rPr>
        <w:t>本次交易交割后，苏宁易购将与家乐福中国在门店网络、商品供应链、物流仓储配送等业务领域开展整合，整合效应预计将逐步显现，对家乐福中国以及苏宁易购财务状况和经营成果产生积极的影响。</w:t>
      </w:r>
      <w:r>
        <w:rPr>
          <w:lang w:eastAsia="zh-CN"/>
        </w:rPr>
        <w:t>”</w:t>
      </w:r>
    </w:p>
    <w:p w:rsidR="000136F6" w:rsidRDefault="00E556BD">
      <w:pPr>
        <w:pStyle w:val="BodyText"/>
        <w:rPr>
          <w:lang w:eastAsia="zh-CN"/>
        </w:rPr>
      </w:pPr>
      <w:r>
        <w:rPr>
          <w:lang w:eastAsia="zh-CN"/>
        </w:rPr>
        <w:t>6</w:t>
      </w:r>
      <w:r>
        <w:rPr>
          <w:lang w:eastAsia="zh-CN"/>
        </w:rPr>
        <w:t>月</w:t>
      </w:r>
      <w:r>
        <w:rPr>
          <w:lang w:eastAsia="zh-CN"/>
        </w:rPr>
        <w:t>24</w:t>
      </w:r>
      <w:r>
        <w:rPr>
          <w:lang w:eastAsia="zh-CN"/>
        </w:rPr>
        <w:t>日晚间，永辉超市</w:t>
      </w:r>
      <w:r>
        <w:rPr>
          <w:lang w:eastAsia="zh-CN"/>
        </w:rPr>
        <w:t>(601933)</w:t>
      </w:r>
      <w:r>
        <w:rPr>
          <w:lang w:eastAsia="zh-CN"/>
        </w:rPr>
        <w:t>发布关于终止拟对外投资的公告，终止投资家乐福中国。永辉超市在公告中称，根据目前市场环境，综合考虑各方面相关因素，公司决定终止本次对外投资的谈判并强调，</w:t>
      </w:r>
      <w:r>
        <w:rPr>
          <w:lang w:eastAsia="zh-CN"/>
        </w:rPr>
        <w:t>“</w:t>
      </w:r>
      <w:r>
        <w:rPr>
          <w:lang w:eastAsia="zh-CN"/>
        </w:rPr>
        <w:t>公司终止本次对外投资不会对公司财务状况和经营状况产生影响，不存在损害公司和中小股东利益的情形。公司将把原计划的投资资金用于加快全国门店的战略布局，持续提升公司的综合竞争力。</w:t>
      </w:r>
    </w:p>
    <w:p w:rsidR="000136F6" w:rsidRDefault="00E556BD">
      <w:pPr>
        <w:pStyle w:val="BodyText"/>
        <w:rPr>
          <w:lang w:eastAsia="zh-CN"/>
        </w:rPr>
      </w:pPr>
      <w:r>
        <w:rPr>
          <w:lang w:eastAsia="zh-CN"/>
        </w:rPr>
        <w:t>永辉超市在</w:t>
      </w:r>
      <w:r>
        <w:rPr>
          <w:lang w:eastAsia="zh-CN"/>
        </w:rPr>
        <w:t>2018</w:t>
      </w:r>
      <w:r>
        <w:rPr>
          <w:lang w:eastAsia="zh-CN"/>
        </w:rPr>
        <w:t>年年报显示，去年公司实现营业收入</w:t>
      </w:r>
      <w:r>
        <w:rPr>
          <w:lang w:eastAsia="zh-CN"/>
        </w:rPr>
        <w:t>705.17</w:t>
      </w:r>
      <w:r>
        <w:rPr>
          <w:lang w:eastAsia="zh-CN"/>
        </w:rPr>
        <w:t>亿元，同比增长</w:t>
      </w:r>
      <w:r>
        <w:rPr>
          <w:lang w:eastAsia="zh-CN"/>
        </w:rPr>
        <w:t>20.35%</w:t>
      </w:r>
      <w:r>
        <w:rPr>
          <w:lang w:eastAsia="zh-CN"/>
        </w:rPr>
        <w:t>；归属于上市公司股东的净利润</w:t>
      </w:r>
      <w:r>
        <w:rPr>
          <w:lang w:eastAsia="zh-CN"/>
        </w:rPr>
        <w:t>14.80</w:t>
      </w:r>
      <w:r>
        <w:rPr>
          <w:lang w:eastAsia="zh-CN"/>
        </w:rPr>
        <w:t>亿元，同比下降</w:t>
      </w:r>
      <w:r>
        <w:rPr>
          <w:lang w:eastAsia="zh-CN"/>
        </w:rPr>
        <w:t>18</w:t>
      </w:r>
      <w:r>
        <w:rPr>
          <w:lang w:eastAsia="zh-CN"/>
        </w:rPr>
        <w:t>.52%</w:t>
      </w:r>
      <w:r>
        <w:rPr>
          <w:lang w:eastAsia="zh-CN"/>
        </w:rPr>
        <w:t>。相比之下，苏宁易购</w:t>
      </w:r>
      <w:r>
        <w:rPr>
          <w:lang w:eastAsia="zh-CN"/>
        </w:rPr>
        <w:t>2018</w:t>
      </w:r>
      <w:r>
        <w:rPr>
          <w:lang w:eastAsia="zh-CN"/>
        </w:rPr>
        <w:t>年营业收入达</w:t>
      </w:r>
      <w:r>
        <w:rPr>
          <w:lang w:eastAsia="zh-CN"/>
        </w:rPr>
        <w:t>2449.57</w:t>
      </w:r>
      <w:r>
        <w:rPr>
          <w:lang w:eastAsia="zh-CN"/>
        </w:rPr>
        <w:t>亿元，同比增长</w:t>
      </w:r>
      <w:r>
        <w:rPr>
          <w:lang w:eastAsia="zh-CN"/>
        </w:rPr>
        <w:t>30.35%</w:t>
      </w:r>
      <w:r>
        <w:rPr>
          <w:lang w:eastAsia="zh-CN"/>
        </w:rPr>
        <w:t>；实现归母净利润</w:t>
      </w:r>
      <w:r>
        <w:rPr>
          <w:lang w:eastAsia="zh-CN"/>
        </w:rPr>
        <w:t>133.28</w:t>
      </w:r>
      <w:r>
        <w:rPr>
          <w:lang w:eastAsia="zh-CN"/>
        </w:rPr>
        <w:t>亿元，同比增长</w:t>
      </w:r>
      <w:r>
        <w:rPr>
          <w:lang w:eastAsia="zh-CN"/>
        </w:rPr>
        <w:t>216.38%</w:t>
      </w:r>
      <w:r>
        <w:rPr>
          <w:lang w:eastAsia="zh-CN"/>
        </w:rPr>
        <w:t>。也正是在这样的背景下，苏宁易购能豪掷</w:t>
      </w:r>
      <w:r>
        <w:rPr>
          <w:lang w:eastAsia="zh-CN"/>
        </w:rPr>
        <w:t>48</w:t>
      </w:r>
      <w:r>
        <w:rPr>
          <w:lang w:eastAsia="zh-CN"/>
        </w:rPr>
        <w:t>亿元，赶在永辉超市之前将家乐福中国纳入帐下。</w:t>
      </w:r>
    </w:p>
    <w:p w:rsidR="000136F6" w:rsidRDefault="00E556BD">
      <w:pPr>
        <w:pStyle w:val="BodyText"/>
      </w:pPr>
      <w:hyperlink r:id="rId25">
        <w:r>
          <w:t>http://company.stcn.com/2019/0625/15206153.shtml</w:t>
        </w:r>
      </w:hyperlink>
    </w:p>
    <w:p w:rsidR="000136F6" w:rsidRDefault="00E556BD">
      <w:pPr>
        <w:pStyle w:val="Heading3"/>
        <w:rPr>
          <w:lang w:eastAsia="zh-CN"/>
        </w:rPr>
      </w:pPr>
      <w:bookmarkStart w:id="26" w:name="复星医药拟7.4亿收购力思特溢价超200存风险"/>
      <w:r>
        <w:rPr>
          <w:lang w:eastAsia="zh-CN"/>
        </w:rPr>
        <w:t>复星医药拟</w:t>
      </w:r>
      <w:r>
        <w:rPr>
          <w:lang w:eastAsia="zh-CN"/>
        </w:rPr>
        <w:t>7.4</w:t>
      </w:r>
      <w:r>
        <w:rPr>
          <w:lang w:eastAsia="zh-CN"/>
        </w:rPr>
        <w:t>亿收购力思特，溢价超</w:t>
      </w:r>
      <w:r>
        <w:rPr>
          <w:lang w:eastAsia="zh-CN"/>
        </w:rPr>
        <w:t>200%</w:t>
      </w:r>
      <w:r>
        <w:rPr>
          <w:lang w:eastAsia="zh-CN"/>
        </w:rPr>
        <w:t>存</w:t>
      </w:r>
      <w:r>
        <w:rPr>
          <w:lang w:eastAsia="zh-CN"/>
        </w:rPr>
        <w:t>风险</w:t>
      </w:r>
      <w:bookmarkEnd w:id="26"/>
    </w:p>
    <w:p w:rsidR="000136F6" w:rsidRDefault="00E556BD">
      <w:pPr>
        <w:pStyle w:val="FirstParagraph"/>
        <w:rPr>
          <w:lang w:eastAsia="zh-CN"/>
        </w:rPr>
      </w:pPr>
      <w:r>
        <w:rPr>
          <w:lang w:eastAsia="zh-CN"/>
        </w:rPr>
        <w:t>复星医药（</w:t>
      </w:r>
      <w:r>
        <w:rPr>
          <w:lang w:eastAsia="zh-CN"/>
        </w:rPr>
        <w:t>600196.SH</w:t>
      </w:r>
      <w:r>
        <w:rPr>
          <w:lang w:eastAsia="zh-CN"/>
        </w:rPr>
        <w:t>）发布公告称，公司控股子公司锦州奥鸿药业有限责任公司（下称奥鸿药业）拟分别通过参与公开挂牌竞购及协议方式受让成都力思特制药股份有限公司（下称力思特制</w:t>
      </w:r>
      <w:r>
        <w:rPr>
          <w:lang w:eastAsia="zh-CN"/>
        </w:rPr>
        <w:lastRenderedPageBreak/>
        <w:t>药）合计约</w:t>
      </w:r>
      <w:r>
        <w:rPr>
          <w:lang w:eastAsia="zh-CN"/>
        </w:rPr>
        <w:t>7056</w:t>
      </w:r>
      <w:r>
        <w:rPr>
          <w:lang w:eastAsia="zh-CN"/>
        </w:rPr>
        <w:t>万股股份（约占力思特制药总股本的</w:t>
      </w:r>
      <w:r>
        <w:rPr>
          <w:lang w:eastAsia="zh-CN"/>
        </w:rPr>
        <w:t>97.82%</w:t>
      </w:r>
      <w:r>
        <w:rPr>
          <w:lang w:eastAsia="zh-CN"/>
        </w:rPr>
        <w:t>），投资总额不超过约</w:t>
      </w:r>
      <w:r>
        <w:rPr>
          <w:lang w:eastAsia="zh-CN"/>
        </w:rPr>
        <w:t>7.47</w:t>
      </w:r>
      <w:r>
        <w:rPr>
          <w:lang w:eastAsia="zh-CN"/>
        </w:rPr>
        <w:t>亿元。复星医药此次收购包括参与公开挂牌竞购及协议受让两种方式，其中协议转让以完成挂牌转让为前提，奥鸿药业将以自筹资金支付交易所涉款项。</w:t>
      </w:r>
    </w:p>
    <w:p w:rsidR="000136F6" w:rsidRDefault="00E556BD">
      <w:pPr>
        <w:pStyle w:val="BodyText"/>
        <w:rPr>
          <w:lang w:eastAsia="zh-CN"/>
        </w:rPr>
      </w:pPr>
      <w:r>
        <w:rPr>
          <w:lang w:eastAsia="zh-CN"/>
        </w:rPr>
        <w:t>此次交易主要存在三方面风险。一是奥鸿药业能否被上海产交所确认为挂牌转让之合资格竞购方，以及能否完成挂牌转</w:t>
      </w:r>
      <w:r>
        <w:rPr>
          <w:lang w:eastAsia="zh-CN"/>
        </w:rPr>
        <w:t>让尚存在不确定性。截至公告日，奥鸿药业是否符合挂牌转让之竞购资格尚待审核确认，《股份转让协议》能否生效存在风险。二是双方协同整合效应能否达到预期存不确定性。复星医药表示，力思特制药的长托宁属于手术麻醉术前用药，与奥鸿药业现有产品主要应用科室具有较好协同性，进一步丰富公司围手术期领域产品线。但随着交易完成，力思特制药董事会和管理层将发生变动，整合协同效果能否达到预期将是新管理层面临的考验。最后是标的公司产品单一风险。力思特制药核心产品长托宁的收入常年占到公司收入的</w:t>
      </w:r>
      <w:r>
        <w:rPr>
          <w:lang w:eastAsia="zh-CN"/>
        </w:rPr>
        <w:t>85%</w:t>
      </w:r>
      <w:r>
        <w:rPr>
          <w:lang w:eastAsia="zh-CN"/>
        </w:rPr>
        <w:t>以上，甚至达到</w:t>
      </w:r>
      <w:r>
        <w:rPr>
          <w:lang w:eastAsia="zh-CN"/>
        </w:rPr>
        <w:t>90%</w:t>
      </w:r>
      <w:r>
        <w:rPr>
          <w:lang w:eastAsia="zh-CN"/>
        </w:rPr>
        <w:t>，产品结构风险突出，</w:t>
      </w:r>
      <w:r>
        <w:rPr>
          <w:lang w:eastAsia="zh-CN"/>
        </w:rPr>
        <w:t>且该产品还面临一定的市场同类产品竞争。另外，力思特制药并无丰富的在研产品，缺乏研发支撑，意味着该公司产品单一困境难解，未来可持续增长能力、这笔高溢价收购是否值得均存疑。</w:t>
      </w:r>
    </w:p>
    <w:p w:rsidR="000136F6" w:rsidRDefault="00E556BD">
      <w:pPr>
        <w:pStyle w:val="BodyText"/>
      </w:pPr>
      <w:hyperlink r:id="rId26">
        <w:r>
          <w:t>https://finance.sina.com.cn/roll/2019-06-26/doc-ihytcerk9362044.shtml</w:t>
        </w:r>
      </w:hyperlink>
    </w:p>
    <w:p w:rsidR="000136F6" w:rsidRDefault="00E556BD">
      <w:pPr>
        <w:pStyle w:val="DisclaimerBold"/>
        <w:rPr>
          <w:lang w:eastAsia="zh-CN"/>
        </w:rPr>
      </w:pPr>
      <w:r>
        <w:rPr>
          <w:lang w:eastAsia="zh-CN"/>
        </w:rPr>
        <w:t>此法讯仅为提供相关资料信</w:t>
      </w:r>
      <w:r>
        <w:rPr>
          <w:lang w:eastAsia="zh-CN"/>
        </w:rPr>
        <w:t>息之用，其内容并</w:t>
      </w:r>
    </w:p>
    <w:p w:rsidR="000136F6" w:rsidRDefault="00E556BD">
      <w:pPr>
        <w:pStyle w:val="Disclaimer"/>
        <w:rPr>
          <w:lang w:eastAsia="zh-CN"/>
        </w:rPr>
      </w:pPr>
      <w:r>
        <w:rPr>
          <w:lang w:eastAsia="zh-CN"/>
        </w:rPr>
        <w:t>不构成法律建议及个案的法律分析。</w:t>
      </w:r>
    </w:p>
    <w:p w:rsidR="000136F6" w:rsidRDefault="00E556BD">
      <w:pPr>
        <w:pStyle w:val="Disclaimer"/>
        <w:rPr>
          <w:lang w:eastAsia="zh-CN"/>
        </w:rPr>
      </w:pPr>
      <w:r>
        <w:rPr>
          <w:lang w:eastAsia="zh-CN"/>
        </w:rPr>
        <w:t>此法讯的发送并不是为了在易周律师行与用户或浏览者之间建立一种律师与客户之关系。</w:t>
      </w:r>
    </w:p>
    <w:p w:rsidR="000136F6" w:rsidRDefault="00E556BD">
      <w:pPr>
        <w:pStyle w:val="Disclaimer"/>
        <w:rPr>
          <w:lang w:eastAsia="zh-CN"/>
        </w:rPr>
      </w:pPr>
      <w:r>
        <w:rPr>
          <w:lang w:eastAsia="zh-CN"/>
        </w:rPr>
        <w:t>易周律师行并不对可从互联网获得的任何第三方内容负责。</w:t>
      </w:r>
    </w:p>
    <w:p w:rsidR="000136F6" w:rsidRDefault="00E556BD">
      <w:pPr>
        <w:pStyle w:val="Disclaimer"/>
        <w:rPr>
          <w:lang w:eastAsia="zh-CN"/>
        </w:rPr>
      </w:pPr>
      <w:r>
        <w:rPr>
          <w:lang w:eastAsia="zh-CN"/>
        </w:rPr>
        <w:t>如你不希望再收到易周法讯，请发送电邮至</w:t>
      </w:r>
      <w:r>
        <w:rPr>
          <w:lang w:eastAsia="zh-CN"/>
        </w:rPr>
        <w:t xml:space="preserve">  </w:t>
      </w:r>
      <w:hyperlink r:id="rId27">
        <w:r>
          <w:rPr>
            <w:lang w:eastAsia="zh-CN"/>
          </w:rPr>
          <w:t>unsubscribe@charltonslaw.com</w:t>
        </w:r>
      </w:hyperlink>
    </w:p>
    <w:p w:rsidR="000136F6" w:rsidRDefault="00E556BD">
      <w:pPr>
        <w:pStyle w:val="BlackStrips"/>
      </w:pPr>
      <w:r>
        <w:t xml:space="preserve">Charltons - </w:t>
      </w:r>
      <w:r>
        <w:t>法讯</w:t>
      </w:r>
      <w:r>
        <w:t xml:space="preserve"> - </w:t>
      </w:r>
      <w:r>
        <w:t>中国</w:t>
      </w:r>
      <w:r>
        <w:t xml:space="preserve"> - </w:t>
      </w:r>
      <w:r>
        <w:t>2019</w:t>
      </w:r>
      <w:r>
        <w:t>年</w:t>
      </w:r>
      <w:r>
        <w:t>6</w:t>
      </w:r>
      <w:r>
        <w:t>月</w:t>
      </w:r>
      <w:r>
        <w:t>28</w:t>
      </w:r>
      <w:r>
        <w:t>日</w:t>
      </w:r>
    </w:p>
    <w:sectPr w:rsidR="000136F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556BD">
      <w:pPr>
        <w:spacing w:after="0"/>
      </w:pPr>
      <w:r>
        <w:separator/>
      </w:r>
    </w:p>
  </w:endnote>
  <w:endnote w:type="continuationSeparator" w:id="0">
    <w:p w:rsidR="00000000" w:rsidRDefault="00E556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6F6" w:rsidRDefault="00E556BD">
      <w:r>
        <w:separator/>
      </w:r>
    </w:p>
  </w:footnote>
  <w:footnote w:type="continuationSeparator" w:id="0">
    <w:p w:rsidR="000136F6" w:rsidRDefault="00E55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6DF9E"/>
    <w:multiLevelType w:val="multilevel"/>
    <w:tmpl w:val="F0404F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0136F6"/>
    <w:rsid w:val="004E29B3"/>
    <w:rsid w:val="00590D07"/>
    <w:rsid w:val="00784D58"/>
    <w:rsid w:val="008D6863"/>
    <w:rsid w:val="00B86B75"/>
    <w:rsid w:val="00BC48D5"/>
    <w:rsid w:val="00C36279"/>
    <w:rsid w:val="00E315A3"/>
    <w:rsid w:val="00E556BD"/>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F09D"/>
  <w15:docId w15:val="{B1B9B1D6-27F5-493A-9376-2C5F36B1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e.com.cn/aboutus/mediacenter/hotandd/c/c_20190625_4846882.shtml" TargetMode="External"/><Relationship Id="rId13" Type="http://schemas.openxmlformats.org/officeDocument/2006/relationships/hyperlink" Target="http://www.csrc.gov.cn/pub/newsite/zjhxwfb/xwdd/201906/t20190621_357637.html" TargetMode="External"/><Relationship Id="rId18" Type="http://schemas.openxmlformats.org/officeDocument/2006/relationships/hyperlink" Target="http://www.chinanews.com/it/2019/06-25/8874837.shtml" TargetMode="External"/><Relationship Id="rId26" Type="http://schemas.openxmlformats.org/officeDocument/2006/relationships/hyperlink" Target="https://finance.sina.com.cn/roll/2019-06-26/doc-ihytcerk9362044.shtml" TargetMode="External"/><Relationship Id="rId3" Type="http://schemas.openxmlformats.org/officeDocument/2006/relationships/settings" Target="settings.xml"/><Relationship Id="rId21" Type="http://schemas.openxmlformats.org/officeDocument/2006/relationships/hyperlink" Target="https://www.chinacourt.org/article/detail/2019/06/id/4102889.shtml" TargetMode="External"/><Relationship Id="rId7" Type="http://schemas.openxmlformats.org/officeDocument/2006/relationships/hyperlink" Target="http://www.charltonslaw.com.cn/zhong-ri-etf-cheng-gong-hu-tong" TargetMode="External"/><Relationship Id="rId12" Type="http://schemas.openxmlformats.org/officeDocument/2006/relationships/hyperlink" Target="http://kcb.stcn.com/2019/0625/15206017.shtml" TargetMode="External"/><Relationship Id="rId17" Type="http://schemas.openxmlformats.org/officeDocument/2006/relationships/hyperlink" Target="http://www.chinanews.com/fortune/2019/06-21/8871477.shtml" TargetMode="External"/><Relationship Id="rId25" Type="http://schemas.openxmlformats.org/officeDocument/2006/relationships/hyperlink" Target="http://company.stcn.com/2019/0625/15206153.shtml" TargetMode="External"/><Relationship Id="rId2" Type="http://schemas.openxmlformats.org/officeDocument/2006/relationships/styles" Target="styles.xml"/><Relationship Id="rId16" Type="http://schemas.openxmlformats.org/officeDocument/2006/relationships/hyperlink" Target="http://szs.mof.gov.cn/zhengwuxinxi/zhengcefabu/201906/t20190625_3284467.html" TargetMode="External"/><Relationship Id="rId20" Type="http://schemas.openxmlformats.org/officeDocument/2006/relationships/hyperlink" Target="http://news.stcn.com/2019/0627/15212025.s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w.sinoins.com/2019-06/25/content_295662.htm" TargetMode="External"/><Relationship Id="rId24" Type="http://schemas.openxmlformats.org/officeDocument/2006/relationships/hyperlink" Target="http://kuaixun.stcn.com/2019/0625/15206659.shtml" TargetMode="External"/><Relationship Id="rId5" Type="http://schemas.openxmlformats.org/officeDocument/2006/relationships/footnotes" Target="footnotes.xml"/><Relationship Id="rId15" Type="http://schemas.openxmlformats.org/officeDocument/2006/relationships/hyperlink" Target="https://finance.sina.com.cn/money/insurance/bxdt/2019-06-26/doc-ihytcerk9372707.shtml" TargetMode="External"/><Relationship Id="rId23" Type="http://schemas.openxmlformats.org/officeDocument/2006/relationships/hyperlink" Target="http://www.chinanews.com/fortune/2019/06-21/8871483.shtml" TargetMode="External"/><Relationship Id="rId28" Type="http://schemas.openxmlformats.org/officeDocument/2006/relationships/fontTable" Target="fontTable.xml"/><Relationship Id="rId10" Type="http://schemas.openxmlformats.org/officeDocument/2006/relationships/hyperlink" Target="http://www.sse.com.cn/aboutus/mediacenter/hotandd/c/c_20190617_4840394.shtml" TargetMode="External"/><Relationship Id="rId19" Type="http://schemas.openxmlformats.org/officeDocument/2006/relationships/hyperlink" Target="http://www.chinanews.com/business/2019/06-25/8874225.shtml" TargetMode="External"/><Relationship Id="rId4" Type="http://schemas.openxmlformats.org/officeDocument/2006/relationships/webSettings" Target="webSettings.xml"/><Relationship Id="rId9" Type="http://schemas.openxmlformats.org/officeDocument/2006/relationships/hyperlink" Target="http://www.sse.com.cn/aboutus/mediacenter/hotandd/c/c_20190621_4845069.shtml" TargetMode="External"/><Relationship Id="rId14" Type="http://schemas.openxmlformats.org/officeDocument/2006/relationships/hyperlink" Target="http://www.xinhuanet.com/fortune/2019-06/26/c_1210170297.htm" TargetMode="External"/><Relationship Id="rId22" Type="http://schemas.openxmlformats.org/officeDocument/2006/relationships/hyperlink" Target="http://www.gov.cn/xinwen/2019-06/26/content_5403617.htm" TargetMode="External"/><Relationship Id="rId27"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1647</Words>
  <Characters>9394</Characters>
  <Application>Microsoft Office Word</Application>
  <DocSecurity>0</DocSecurity>
  <Lines>78</Lines>
  <Paragraphs>22</Paragraphs>
  <ScaleCrop>false</ScaleCrop>
  <Company>Charltons</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2019-06-27T09:37:00Z</dcterms:created>
  <dcterms:modified xsi:type="dcterms:W3CDTF">2019-06-28T03:37:00Z</dcterms:modified>
</cp:coreProperties>
</file>