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- 2019年7月5日</w:t>
      </w:r>
    </w:p>
    <w:p>
      <w:pPr>
        <w:pStyle w:val="ReadOnline"/>
      </w:pPr>
      <w:hyperlink r:id="rId9">
        <w:r>
          <w:rPr/>
          <w:t>online version</w:t>
        </w:r>
      </w:hyperlink>
    </w:p>
    <w:p>
      <w:pPr>
        <w:pStyle w:val="Title"/>
      </w:pPr>
      <w:r>
        <w:t>央行将开展25亿元央票互换操作</w:t>
      </w:r>
    </w:p>
    <w:p>
      <w:pPr>
        <w:pStyle w:val="Heading2"/>
      </w:pPr>
      <w:bookmarkStart w:id="21" w:name="简介"/>
      <w:r>
        <w:t xml:space="preserve">简介</w:t>
      </w:r>
      <w:bookmarkEnd w:id="21"/>
    </w:p>
    <w:p>
      <w:pPr>
        <w:pStyle w:val="FirstParagraph"/>
      </w:pPr>
      <w:r>
        <w:t xml:space="preserve">央行将开展25亿元央票互换操作；银保监会规范“保信”合作；巨灾保险理赔系统正式上线；新修订的《纳税服务投诉管理办法》8月1日起实施；国家发展改革委、商务部发布《全国和自贸试验区外商投资准入负面清单（2019年版）》；国家发展改革委、商务部发布《鼓励外商投资产业目录（2019年版）》</w:t>
      </w:r>
    </w:p>
    <w:p>
      <w:pPr>
        <w:pStyle w:val="Heading2"/>
      </w:pPr>
      <w:bookmarkStart w:id="22" w:name="资本市场"/>
      <w:r>
        <w:t xml:space="preserve">资本市场</w:t>
      </w:r>
      <w:bookmarkEnd w:id="22"/>
    </w:p>
    <w:p>
      <w:pPr>
        <w:pStyle w:val="Heading3"/>
      </w:pPr>
      <w:bookmarkStart w:id="23" w:name="央行将开展25亿元央票互换操作"/>
      <w:r>
        <w:t xml:space="preserve">央行将开展25亿元央票互换操作</w:t>
      </w:r>
      <w:bookmarkEnd w:id="23"/>
    </w:p>
    <w:p>
      <w:pPr>
        <w:pStyle w:val="FirstParagraph"/>
      </w:pPr>
      <w:r>
        <w:t xml:space="preserve">中国人民银行于2019年6月27日公告，将开展今年第二期央行票据互换（CBS）操作。本期操作量为25亿元，期限1年，面向公开市场业务一级交易商进行固定费率数量招标，费率为0.25%，首期结算日为2019年6月27日，到期日为2020年6月27日（遇节假日顺延）。</w:t>
      </w:r>
    </w:p>
    <w:p>
      <w:pPr>
        <w:pStyle w:val="TextBody"/>
      </w:pPr>
      <w:r>
        <w:t xml:space="preserve">央行票据互换是人民银行和公开市场一级交易商之间开展的一种债券互换交易。债券持有人可以将换入的央票在市场上进行抵押融资，或作为担保品参与央行货币政策操作。今年1月24日，在首单永续债发行的前一天，为提高银行永续债（含无固定期限资本债券）的流动性，支持银行发行永续债补充资本，央行创设了CBS。首单CBS于今年2月20日开展。</w:t>
      </w:r>
    </w:p>
    <w:p>
      <w:pPr>
        <w:pStyle w:val="TextBody"/>
      </w:pPr>
      <w:hyperlink r:id="rId24">
        <w:r>
          <w:rPr>
            <w:rStyle w:val="Hyperlink"/>
          </w:rPr>
          <w:t xml:space="preserve">http://www.chinaforex.com.cn/index.php/cms/item-view-id-48635.shtml</w:t>
        </w:r>
      </w:hyperlink>
    </w:p>
    <w:p>
      <w:pPr>
        <w:pStyle w:val="Heading3"/>
      </w:pPr>
      <w:bookmarkStart w:id="25" w:name="邮储银行a股ipo招股书预披露-六大行ah上市收官在望"/>
      <w:r>
        <w:t xml:space="preserve">邮储银行A股IPO招股书预披露 六大行“A+H”上市收官在望</w:t>
      </w:r>
      <w:bookmarkEnd w:id="25"/>
    </w:p>
    <w:p>
      <w:pPr>
        <w:pStyle w:val="FirstParagraph"/>
      </w:pPr>
      <w:r>
        <w:t xml:space="preserve">继今年6月12日邮储银行发布公告称该行A股上市获中国银保监会批复之后，同月28日，中国证监会官网披露了邮储银行A股招股书。此次发行募集资金扣除发行费用后，将全部用于充实该行资本金。</w:t>
      </w:r>
    </w:p>
    <w:p>
      <w:pPr>
        <w:pStyle w:val="TextBody"/>
      </w:pPr>
      <w:r>
        <w:t xml:space="preserve">此次证监会官网披露邮储银行A股招股书，意味着邮储银行按照“股改—引战—上市”三步走改革路线图。对于邮储银行启动A股IPO，有观点认为，邮储银行A股IPO融资所得将缓解信贷持续快速扩张面临的资本压力，支撑2019年至2021年的净利息收益率，上调目标价并维持“持有”评级。邮储银行此次A股上市，一是为补充资本，二是为增加本行的国内知名度。</w:t>
      </w:r>
    </w:p>
    <w:p>
      <w:pPr>
        <w:pStyle w:val="TextBody"/>
      </w:pPr>
      <w:r>
        <w:t xml:space="preserve">数据显示，截至2018年末，邮储银行资产总额、贷款总额和存款总额分别达9.52万亿元、4.28万亿元和8.63万亿元，在中国商业银行中分别位居第六位、第六位和第五位。2019年一季度末，邮储银行资产规模已突破10万亿元大关，达到10.14万亿元，占中国银行业金融机构总资产比例达3.68%。</w:t>
      </w:r>
    </w:p>
    <w:p>
      <w:pPr>
        <w:pStyle w:val="TextBody"/>
      </w:pPr>
      <w:hyperlink r:id="rId26">
        <w:r>
          <w:rPr>
            <w:rStyle w:val="Hyperlink"/>
          </w:rPr>
          <w:t xml:space="preserve">http://www.xinhuanet.com/money/2019-07/02/c_1124697681.htm</w:t>
        </w:r>
      </w:hyperlink>
    </w:p>
    <w:p>
      <w:pPr>
        <w:pStyle w:val="Heading3"/>
      </w:pPr>
      <w:bookmarkStart w:id="27" w:name="中国银行理财子公司获准开业"/>
      <w:r>
        <w:t xml:space="preserve">中国银行理财子公司获准开业</w:t>
      </w:r>
      <w:bookmarkEnd w:id="27"/>
    </w:p>
    <w:p>
      <w:pPr>
        <w:pStyle w:val="FirstParagraph"/>
      </w:pPr>
      <w:r>
        <w:t xml:space="preserve">中国银行今年6月27日在沪港两地交易所同时公告称，中国银保监会近日已批准其全资子公司中银理财有限责任公司开业。中银理财注册资本为100亿元，注册地为北京，主要从事发行公募理财产品、发行私募理财产品、理财顾问和咨询等资产管理相关业务。</w:t>
      </w:r>
    </w:p>
    <w:p>
      <w:pPr>
        <w:pStyle w:val="TextBody"/>
      </w:pPr>
      <w:hyperlink r:id="rId28">
        <w:r>
          <w:rPr>
            <w:rStyle w:val="Hyperlink"/>
          </w:rPr>
          <w:t xml:space="preserve">http://www.chinaforex.com.cn/index.php/cms/item-view-id-48634.shtml</w:t>
        </w:r>
      </w:hyperlink>
    </w:p>
    <w:p>
      <w:pPr>
        <w:pStyle w:val="Heading3"/>
      </w:pPr>
      <w:bookmarkStart w:id="29" w:name="年全球银行1000强出炉中资银行再次包揽前四"/>
      <w:r>
        <w:t xml:space="preserve">“2019年全球银行1000强”出炉，中资银行再次包揽前四</w:t>
      </w:r>
      <w:bookmarkEnd w:id="29"/>
    </w:p>
    <w:p>
      <w:pPr>
        <w:pStyle w:val="FirstParagraph"/>
      </w:pPr>
      <w:r>
        <w:t xml:space="preserve">英国《银行家》杂志 （The Banker）公布了“2019年全球银行1000强”榜单。榜单显示，截至2018年末，全球1000大银行一级资本总额合计8.29万亿美元，高于去年的8.23万亿美元，达到2010年低谷后的最高值，一级资本与总资产比值从2010年的5.14%提高到2019年的6.75%。但与此同时，全球银行业利润则呈下降趋势，截至2018年末全球1000大银行净资产收益率（ROE）下降了2个百分点至9.56%，低于通常认为的12%的良好水平。</w:t>
      </w:r>
    </w:p>
    <w:p>
      <w:pPr>
        <w:pStyle w:val="TextBody"/>
      </w:pPr>
      <w:r>
        <w:t xml:space="preserve">中国四家大型商业银行再次位列1000大银行前四名，依次为中国工商银行，中国建设银行，中国农业银行，中国银行。此外，很多中资银行排名有所提升。如华夏银行、广发银行、宁波银行、徽商银行、上海农村商业银行等。与此同时，中资大型银行总资产维持增长，但增速放缓。</w:t>
      </w:r>
    </w:p>
    <w:p>
      <w:pPr>
        <w:pStyle w:val="TextBody"/>
      </w:pPr>
      <w:hyperlink r:id="rId30">
        <w:r>
          <w:rPr>
            <w:rStyle w:val="Hyperlink"/>
          </w:rPr>
          <w:t xml:space="preserve">https://finance.sina.com.cn/money/bank/bank_hydt/2019-07-01/doc-ihytcerm0651347.shtml</w:t>
        </w:r>
      </w:hyperlink>
    </w:p>
    <w:p>
      <w:pPr>
        <w:pStyle w:val="Heading3"/>
      </w:pPr>
      <w:bookmarkStart w:id="31" w:name="兴业银行获央行批准发行不超过500亿元二级资本债券"/>
      <w:r>
        <w:t xml:space="preserve">兴业银行获央行批准发行不超过500亿元二级资本债券</w:t>
      </w:r>
      <w:bookmarkEnd w:id="31"/>
    </w:p>
    <w:p>
      <w:pPr>
        <w:pStyle w:val="FirstParagraph"/>
      </w:pPr>
      <w:r>
        <w:t xml:space="preserve">兴业银行于今年7月2日收到中国人民银行出具的行政许可决定书，同意该行在全国银行间债券市场公开发行不超过500亿元人民币的二级资本债券，核准额度自决定书发出之日起2年内有效，可选择自主分期发行。</w:t>
      </w:r>
    </w:p>
    <w:p>
      <w:pPr>
        <w:pStyle w:val="TextBody"/>
      </w:pPr>
      <w:r>
        <w:t xml:space="preserve">兴业银行此举主要原因为其资本充足水平承压。一季报显示，截至一季度末，该行资本充足指标较上年末有不同程度的下降，核心一级资本充足率、一级资本充足率、资本充足率分别为9.25%、9.78%、12.06%，较上年末分别下降0.05、0.07、0.14个百分点，且低于我国商业银行平均水平。截至2018年末，该行总资产6.71万亿元，较年初增长4.59个百分点；营业收入1582.87亿元，同比增长13.08个百分点；归母净利润606.2亿元，同比增长5.98个百分点。在资产质量方面，截至2018年末，该行不良贷款率为1.57个百分点，较年初下降0.02个百分点；拨备覆盖率为207.28个百分点，较年初下降4.5个百分点。</w:t>
      </w:r>
    </w:p>
    <w:p>
      <w:pPr>
        <w:pStyle w:val="TextBody"/>
      </w:pPr>
      <w:hyperlink r:id="rId32">
        <w:r>
          <w:rPr>
            <w:rStyle w:val="Hyperlink"/>
          </w:rPr>
          <w:t xml:space="preserve">http://www.ifnews.com/17/detail-41445.html</w:t>
        </w:r>
      </w:hyperlink>
    </w:p>
    <w:p>
      <w:pPr>
        <w:pStyle w:val="Heading2"/>
      </w:pPr>
      <w:bookmarkStart w:id="33" w:name="保险"/>
      <w:r>
        <w:t xml:space="preserve">保险</w:t>
      </w:r>
      <w:bookmarkEnd w:id="33"/>
    </w:p>
    <w:p>
      <w:pPr>
        <w:pStyle w:val="Heading3"/>
      </w:pPr>
      <w:bookmarkStart w:id="34" w:name="银保监会规范保信合作"/>
      <w:r>
        <w:t xml:space="preserve">银保监会规范“保信”合作</w:t>
      </w:r>
      <w:bookmarkEnd w:id="34"/>
    </w:p>
    <w:p>
      <w:pPr>
        <w:pStyle w:val="FirstParagraph"/>
      </w:pPr>
      <w:r>
        <w:t xml:space="preserve">中国银保监会办公厅下发《关于保险资金投资集合资金信托有关事项的通知》（以下简称《通知》）。与2014年发布的《关于保险资金投资集合资金信托计划有关事项的通知》相比，《通知》由原来的8条增加为19条，对保险机构选择信托公司的标准作出了明确调整。</w:t>
      </w:r>
    </w:p>
    <w:p>
      <w:pPr>
        <w:pStyle w:val="TextBody"/>
      </w:pPr>
      <w:r>
        <w:t xml:space="preserve">《通知》除了要求信托公司上年末经审计的净资产不低于30亿元人民币，还要求其具有完善的公司治理、良好的市场信誉和稳定的投资业绩。此外，公司及高级管理人员未发生重大刑事案件、未受监管机构重大行政处罚的规定期限由3年改为1年。《通知》还对保险资金投资集合资金信托设置了诸多禁止项：保险资金不得投资基础资产属于国家及监管部门明令禁止的行业或产业的资金信托；不得由金融机构提供任何直接或间接、显性或隐性的担保、回购等代为承担风险的承诺；不得投资单一资金信托，不得投资结构化集合资金信托的劣后级受益权，并禁止将资金信托作为通道。对于基础资产为非标准化债权资产的集合资金信托，《通知》要求的信用评级严于2014年，信用等级不得低于符合条件的国内信用评级机构评定的AA级或者相当于AA级的信用级别，并要求确定有效的信用增级安排。除信用等级为AAA级的集合资金信托外，保险集团（控股）公司或保险公司投资同一集合资金信托的投资金额，不得高于该产品实收信托规模的50%，保险集团（控股）公司、保险公司及其关联方投资同一集合资金信托的投资金额，合计不得高于该产品实收信托规模的80%。</w:t>
      </w:r>
    </w:p>
    <w:p>
      <w:pPr>
        <w:pStyle w:val="TextBody"/>
      </w:pPr>
      <w:r>
        <w:t xml:space="preserve">下一步，银保监会将强化对保险资金投资集合资金信托的业务监管，发挥保险资金长期稳健投资优势，进一步提升保险资金服务实体经济质效。</w:t>
      </w:r>
    </w:p>
    <w:p>
      <w:pPr>
        <w:pStyle w:val="TextBody"/>
      </w:pPr>
      <w:hyperlink r:id="rId35">
        <w:r>
          <w:rPr>
            <w:rStyle w:val="Hyperlink"/>
          </w:rPr>
          <w:t xml:space="preserve">http://xw.sinoins.com/2019-07/01/content_296500.htm</w:t>
        </w:r>
      </w:hyperlink>
    </w:p>
    <w:p>
      <w:pPr>
        <w:pStyle w:val="Heading3"/>
      </w:pPr>
      <w:bookmarkStart w:id="36" w:name="巨灾保险理赔系统正式上线"/>
      <w:r>
        <w:t xml:space="preserve">巨灾保险理赔系统正式上线</w:t>
      </w:r>
      <w:bookmarkEnd w:id="36"/>
    </w:p>
    <w:p>
      <w:pPr>
        <w:pStyle w:val="FirstParagraph"/>
      </w:pPr>
      <w:r>
        <w:t xml:space="preserve">今年6月30日，中国城乡居民住宅地震巨灾保险共同体巨灾保险理赔系统正式上线运行，旨在通过建立一站式专业化的集中服务平台，为地震巨灾保险理赔提供基础支撑和解决方案。</w:t>
      </w:r>
    </w:p>
    <w:p>
      <w:pPr>
        <w:pStyle w:val="TextBody"/>
      </w:pPr>
      <w:r>
        <w:t xml:space="preserve">该系统是在中国银保监会的指导下，由中国城乡居民住宅地震巨灾保险共同体和上海保交所在3年运行经验的基础上，为地震巨灾保险量身定制而成，提供从震灾管理到理赔支付的一揽子解决方案。通过该系统，一方面能有效提升地震巨灾保险理赔效率和服务水平，提高行业服务自然灾害防治的应急响应能力，助力发挥巨灾保险风险保障功能；另一方面能集中积累灾害数据，促进行业灾害管理信息共享，为巨灾数据库的建立奠定基础，提升全社会应对重大灾害的意识和能力。</w:t>
      </w:r>
    </w:p>
    <w:p>
      <w:pPr>
        <w:pStyle w:val="TextBody"/>
      </w:pPr>
      <w:r>
        <w:t xml:space="preserve">截至目前，住宅地震巨灾保险已累计为912万户家庭提供超过3931亿元的风险保障，巨灾保险制度惠及的人民群众范围持续扩大。</w:t>
      </w:r>
    </w:p>
    <w:p>
      <w:pPr>
        <w:pStyle w:val="TextBody"/>
      </w:pPr>
      <w:hyperlink r:id="rId37">
        <w:r>
          <w:rPr>
            <w:rStyle w:val="Hyperlink"/>
          </w:rPr>
          <w:t xml:space="preserve">http://xw.sinoins.com/2019-07/03/content_296814.htm</w:t>
        </w:r>
      </w:hyperlink>
    </w:p>
    <w:p>
      <w:pPr>
        <w:pStyle w:val="Heading3"/>
      </w:pPr>
      <w:bookmarkStart w:id="38" w:name="上半年保险机构共收罚单387张合计被罚没6260万元"/>
      <w:r>
        <w:t xml:space="preserve">上半年保险机构共收罚单387张，合计被罚没6260万元</w:t>
      </w:r>
      <w:bookmarkEnd w:id="38"/>
    </w:p>
    <w:p>
      <w:pPr>
        <w:pStyle w:val="FirstParagraph"/>
      </w:pPr>
      <w:r>
        <w:t xml:space="preserve">据银保监会网站公示信息，截至今年6月30日，银保监会共开出8张罚单，各地银保监局（或监管局）共开出罚单379张，即今年上半年，保监系统给保险业开出罚单达387张。其中，上海收到69张罚单，成为保险处罚的“重灾区”。收到罚单较多的地区还有四川和黑龙江，罚单数量分别为39张、37张。</w:t>
      </w:r>
    </w:p>
    <w:p>
      <w:pPr>
        <w:pStyle w:val="TextBody"/>
      </w:pPr>
      <w:r>
        <w:t xml:space="preserve">罚单的主要原因在于，不少保险机构因为违规展业、销售误导、虚列费用、虚假宣传、虚假理赔、虚构保险中介业务、牟取不正当利益、产品不符合监管规定等原因受到处罚。银保监会开出的8张罚单，对保险机构及个人处罚金额合计460万元；各地银保监局开出的379张罚单，对保险机构及个人处罚金额达5800万元。保监系统合计对保险机构及个人处罚金额达6260万元。</w:t>
      </w:r>
    </w:p>
    <w:p>
      <w:pPr>
        <w:pStyle w:val="TextBody"/>
      </w:pPr>
      <w:hyperlink r:id="rId39">
        <w:r>
          <w:rPr>
            <w:rStyle w:val="Hyperlink"/>
          </w:rPr>
          <w:t xml:space="preserve">http://www.chinanews.com/cj/2019/07-01/8879861.shtml</w:t>
        </w:r>
      </w:hyperlink>
    </w:p>
    <w:p>
      <w:pPr>
        <w:pStyle w:val="Heading2"/>
      </w:pPr>
      <w:bookmarkStart w:id="40" w:name="税收"/>
      <w:r>
        <w:t xml:space="preserve">税收</w:t>
      </w:r>
      <w:bookmarkEnd w:id="40"/>
    </w:p>
    <w:p>
      <w:pPr>
        <w:pStyle w:val="Heading3"/>
      </w:pPr>
      <w:bookmarkStart w:id="41" w:name="新修订的纳税服务投诉管理办法于2019年8月1日起实施"/>
      <w:r>
        <w:t xml:space="preserve">新修订的《纳税服务投诉管理办法》于2019年8月1日起实施</w:t>
      </w:r>
      <w:bookmarkEnd w:id="41"/>
    </w:p>
    <w:p>
      <w:pPr>
        <w:pStyle w:val="FirstParagraph"/>
      </w:pPr>
      <w:r>
        <w:t xml:space="preserve">为进一步深化“放管服”改革、优化税收营商环境，国家税务总局修订出台《纳税服务投诉管理办法》，对纳税服务投诉工作进行规范和优化，进一步提高监督投诉质效，更好维护纳税人、缴费人合法权益。</w:t>
      </w:r>
    </w:p>
    <w:p>
      <w:pPr>
        <w:pStyle w:val="TextBody"/>
      </w:pPr>
      <w:r>
        <w:t xml:space="preserve">此次修订出台的新办法扩大了纳税服务投诉范围，投诉边界更清晰；拓宽投诉渠道，主体权责更明确；规范受理流程，办理时限再压缩；建立快速处理机制，投诉处理更高效。投诉人认为投诉处理结果显失公正的，还可以向上级税务机关申请复核。新办法将于今年8月1日起正式实施。</w:t>
      </w:r>
    </w:p>
    <w:p>
      <w:pPr>
        <w:pStyle w:val="TextBody"/>
      </w:pPr>
      <w:hyperlink r:id="rId42">
        <w:r>
          <w:rPr>
            <w:rStyle w:val="Hyperlink"/>
          </w:rPr>
          <w:t xml:space="preserve">https://www.chinacourt.org/article/detail/2019/07/id/4145153.shtml</w:t>
        </w:r>
      </w:hyperlink>
    </w:p>
    <w:p>
      <w:pPr>
        <w:pStyle w:val="Heading2"/>
      </w:pPr>
      <w:bookmarkStart w:id="43" w:name="知产"/>
      <w:r>
        <w:t xml:space="preserve">知产</w:t>
      </w:r>
      <w:bookmarkEnd w:id="43"/>
    </w:p>
    <w:p>
      <w:pPr>
        <w:pStyle w:val="Heading3"/>
      </w:pPr>
      <w:bookmarkStart w:id="44" w:name="国家标准软件工程软件开发成本度量规范7月实施"/>
      <w:r>
        <w:t xml:space="preserve">国家标准《软件工程软件开发成本度量规范》7月实施</w:t>
      </w:r>
      <w:bookmarkEnd w:id="44"/>
    </w:p>
    <w:p>
      <w:pPr>
        <w:pStyle w:val="FirstParagraph"/>
      </w:pPr>
      <w:r>
        <w:t xml:space="preserve">“第二十三届中国国际软件博览会软件工程与质量论坛”于2019年6月29日在北京举行，现场发布了国家标准《软件工程软件开发成本度量规范》（以下简称《规范》）。该《规范》将于今年7月1日正式实施。</w:t>
      </w:r>
    </w:p>
    <w:p>
      <w:pPr>
        <w:pStyle w:val="TextBody"/>
      </w:pPr>
      <w:r>
        <w:t xml:space="preserve">该《规范》的实施将有利于规范软件工程模式下开发项目成本估算的过程，为用户单位、财政审批部门、软件开发商估算软件项目的工作量、价格等提供科学、统一、快捷的方法和标准，帮助包括政府在内的信息化用户，在招投标过程中，科学计算软件项目成本，帮助软件企业在项目早期和实施过程中，有效估算项目规模和成本，对项目实施进行有效的管理、降低返工比例、控制开发成本，引导整个产业可持续健康发展。</w:t>
      </w:r>
    </w:p>
    <w:p>
      <w:pPr>
        <w:pStyle w:val="TextBody"/>
      </w:pPr>
      <w:hyperlink r:id="rId45">
        <w:r>
          <w:rPr>
            <w:rStyle w:val="Hyperlink"/>
          </w:rPr>
          <w:t xml:space="preserve">http://finance.chinanews.com/it/2019/06-30/8878830.shtml</w:t>
        </w:r>
      </w:hyperlink>
    </w:p>
    <w:p>
      <w:pPr>
        <w:pStyle w:val="Heading3"/>
      </w:pPr>
      <w:bookmarkStart w:id="46" w:name="工信部印发电信和互联网行业提升网络数据安全保护能力专项行动方案"/>
      <w:r>
        <w:t xml:space="preserve">工信部印发《电信和互联网行业提升网络数据安全保护能力专项行动方案》</w:t>
      </w:r>
      <w:bookmarkEnd w:id="46"/>
    </w:p>
    <w:p>
      <w:pPr>
        <w:pStyle w:val="FirstParagraph"/>
      </w:pPr>
      <w:r>
        <w:t xml:space="preserve">工业和信息化部为全面提升行业网络数据安全保护能力，制定《电信和互联网行业提升网络数据安全保护能力专项行动方案》（下简称《方案》）。</w:t>
      </w:r>
    </w:p>
    <w:p>
      <w:pPr>
        <w:pStyle w:val="TextBody"/>
      </w:pPr>
      <w:r>
        <w:t xml:space="preserve">《方案》目标整改消除重大数据泄露、滥用等安全隐患，2019年10月底前完成全部基础电信企业（含专业公司）、一些重点互联网企业以及部分主流App数据安全检查；基本建立行业网络数据安全保障体系，形成行业网络数据保护目录，制定行业网络数据安全标准规范并贯标试点；基本建成行业网络数据安全管理和技术支撑平台，遴选网络数据安全技术能力创新示范项目；有效建立基础电信企业和重点互联网企业网络数据安全管理体系。</w:t>
      </w:r>
    </w:p>
    <w:p>
      <w:pPr>
        <w:pStyle w:val="TextBody"/>
      </w:pPr>
      <w:r>
        <w:t xml:space="preserve">《方案》要求强化网络数据安全管理制度设计；完善网络数据安全标准体系；推动出台行业《网络数据安全标准体系建设指南》，加快完善行业网络数据安全标准体系，开展网络数据安全风险评估，针对物联网、车联网、卫星互联网、人工智能等新技术新应用带来的重大互联网数据安全问题，及时开展行业评估和跨部门联合评估工作；深化App违法违规专项治理，持续推进App违法违规收集使用个人信息专项治理行动；强化网络数据安全监督执法等。</w:t>
      </w:r>
    </w:p>
    <w:p>
      <w:pPr>
        <w:pStyle w:val="TextBody"/>
      </w:pPr>
      <w:hyperlink r:id="rId47">
        <w:r>
          <w:rPr>
            <w:rStyle w:val="Hyperlink"/>
          </w:rPr>
          <w:t xml:space="preserve">http://www.cs.com.cn/cj/hyzx/201907/t20190701_5963841.html</w:t>
        </w:r>
      </w:hyperlink>
    </w:p>
    <w:p>
      <w:pPr>
        <w:pStyle w:val="Heading2"/>
      </w:pPr>
      <w:bookmarkStart w:id="48" w:name="行业"/>
      <w:r>
        <w:t xml:space="preserve">行业</w:t>
      </w:r>
      <w:bookmarkEnd w:id="48"/>
    </w:p>
    <w:p>
      <w:pPr>
        <w:pStyle w:val="Heading3"/>
      </w:pPr>
      <w:bookmarkStart w:id="49" w:name="国家发展改革委商务部发布全国和自贸试验区外商投资准入负面清单2019年版"/>
      <w:r>
        <w:t xml:space="preserve">国家发展改革委、商务部发布《全国和自贸试验区外商投资准入负面清单（2019年版）》</w:t>
      </w:r>
      <w:bookmarkEnd w:id="49"/>
    </w:p>
    <w:p>
      <w:pPr>
        <w:pStyle w:val="FirstParagraph"/>
      </w:pPr>
      <w:r>
        <w:t xml:space="preserve">经党中央、国务院同意，国家发展改革委、商务部于2019年6月30日发布第25号令和第26号令，分别发布了《外商投资准入特别管理措施（负面清单）（2019年版）》和《自由贸易试验区外商投资准入特别管理措施（负面清单）（2019年版）》，自2019年7月30日起施行。《外商投资准入特别管理措施（负面清单）（2018年版）》和《自由贸易试验区外商投资准入特别管理措施（负面清单）（2018年版）》同时废止。</w:t>
      </w:r>
    </w:p>
    <w:p>
      <w:pPr>
        <w:pStyle w:val="TextBody"/>
      </w:pPr>
      <w:r>
        <w:t xml:space="preserve">本次修订负面清单在服务业、制造业、采矿业、农业推出了新的开放措施，在更多领域允许外资控股或独资经营，在自贸试验区继续进行开放试点。</w:t>
      </w:r>
    </w:p>
    <w:p>
      <w:pPr>
        <w:pStyle w:val="TextBody"/>
      </w:pPr>
      <w:r>
        <w:t xml:space="preserve">本次修订精简了负面清单，减少了全国外资准入负面清单条目和自贸试验区外资准入负面清单条目。主要变化：一是推进服务业扩大对外开放，包括交通运输领域、基础设施领域、文化领域、增值电信领域中须由中方控股的限制或者对外资的限制。二是放宽农业、采矿业、制造业准入。三是继续发挥自贸试验区开放“试验田”作用。2018年版自贸试验区外资准入负面清单试点的演出经纪机构、石油天然气勘探开发等开放措施推向全国。本次修订，在全国开放措施的基础上，2019年版自贸试验区外资准入负面清单取消了水产品捕捞、出版物印刷等领域对外资的限制。</w:t>
      </w:r>
    </w:p>
    <w:p>
      <w:pPr>
        <w:pStyle w:val="TextBody"/>
      </w:pPr>
      <w:r>
        <w:t xml:space="preserve">外资准入负面清单是我国实行准入前国民待遇加负面清单管理制度的基本依据。负面清单以外的外商投资，按照内外资一致原则管理，给予国民待遇。各地区、各部门不得在负面清单之外的领域单独针对外资设置准入限制。</w:t>
      </w:r>
    </w:p>
    <w:p>
      <w:pPr>
        <w:pStyle w:val="TextBody"/>
      </w:pPr>
      <w:hyperlink r:id="rId50">
        <w:r>
          <w:rPr>
            <w:rStyle w:val="Hyperlink"/>
          </w:rPr>
          <w:t xml:space="preserve">http://www.ndrc.gov.cn/xwzx/xwfb/201906/t20190630_940565.html</w:t>
        </w:r>
      </w:hyperlink>
    </w:p>
    <w:p>
      <w:pPr>
        <w:pStyle w:val="Heading3"/>
      </w:pPr>
      <w:bookmarkStart w:id="51" w:name="国家发展改革委商务部发布鼓励外商投资产业目录2019年版"/>
      <w:r>
        <w:t xml:space="preserve">国家发展改革委、商务部发布《鼓励外商投资产业目录（2019年版）》</w:t>
      </w:r>
      <w:bookmarkEnd w:id="51"/>
    </w:p>
    <w:p>
      <w:pPr>
        <w:pStyle w:val="FirstParagraph"/>
      </w:pPr>
      <w:r>
        <w:t xml:space="preserve">经党中央、国务院同意，国家发展改革委、商务部于2019年6月30日发布第27号令，发布《鼓励外商投资产业目录（2019年版）》，自2019年7月30日起施行。《外商投资产业指导目录（2017年修订）》（其中外商投资准入负面清单已于2018年7月28日废止）鼓励类和《中西部地区外商投资优势产业目录（2017年修订）》同时废止。</w:t>
      </w:r>
    </w:p>
    <w:p>
      <w:pPr>
        <w:pStyle w:val="TextBody"/>
      </w:pPr>
      <w:r>
        <w:t xml:space="preserve">《鼓励外商投资产业目录（2019年版）》包括全国鼓励外商投资产业目录（以下简称全国目录）和中西部地区外商投资优势产业目录（以下简称中西部目录），分别对《外商投资产业指导目录（2017年修订）》鼓励类和《中西部地区外商投资优势产业目录（2017年修订）》进行了修订。主要变化：一是较大幅度增加鼓励外商投资领域。《鼓励外商投资产业目录（2019年版）》中的全国目录与中西部目录均有所增加与修改。外商投资重点领域，除了根据技术、标准变化做必要的调整外，原则上保持不变。二是鼓励外资参与制造业高质量发展，将其作为重点方向，全国目录新增或修改条目80%以上属于制造业范畴。电子信息产业如5G核心元组件、云计算设备等条目、装备制造业如新能源汽车、智能汽车关键零部件等条目、现代医药产业如细胞治疗药物关键原材料等条目、新材料产业如航空航天新材料、单晶硅等条目均被新增或修改。三是鼓励外资投向生产性服务业，商务服务领域如会计、税务等条目、商贸流通领域如电子商务等条目、技术服务领域如人工智能循环经济等条目也均被新增或修改。四是支持中西部地区承接外资产业转移加大对中西部地区承接外资产业转移的支持力度，如云南、内蒙古、湖南新增或修改具有特色农业资源、劳动力优势的条目；在安徽、四川、陕西等新增或修改电子产业的条目。</w:t>
      </w:r>
    </w:p>
    <w:p>
      <w:pPr>
        <w:pStyle w:val="TextBody"/>
      </w:pPr>
      <w:r>
        <w:t xml:space="preserve">属于《鼓励外商投资产业目录（2019年版）》的外商投资项目，可以依照法律、行政法规或者国务院的规定享受税收、土地等优惠待遇。</w:t>
      </w:r>
    </w:p>
    <w:p>
      <w:pPr>
        <w:pStyle w:val="TextBody"/>
      </w:pPr>
      <w:hyperlink r:id="rId52">
        <w:r>
          <w:rPr>
            <w:rStyle w:val="Hyperlink"/>
          </w:rPr>
          <w:t xml:space="preserve">http://www.ndrc.gov.cn/xwzx/xwfb/201906/t20190630_940564.html</w:t>
        </w:r>
      </w:hyperlink>
    </w:p>
    <w:p>
      <w:pPr>
        <w:pStyle w:val="Heading3"/>
      </w:pPr>
      <w:bookmarkStart w:id="53" w:name="十项措施提升通关便利化水平"/>
      <w:r>
        <w:t xml:space="preserve">十项措施提升通关便利化水平</w:t>
      </w:r>
      <w:bookmarkEnd w:id="53"/>
    </w:p>
    <w:p>
      <w:pPr>
        <w:pStyle w:val="FirstParagraph"/>
      </w:pPr>
      <w:r>
        <w:t xml:space="preserve">近日召开的国务院常务会议对下一阶段优化口岸营商环境、加快提升通关便利化水平作出进一步部署。海关总署会同财政部、自然资源部、交通运输部等10个相关部门近日联合印发了《关于加快提升通关便利化水平的通知》，共提出10条具体措施。</w:t>
      </w:r>
    </w:p>
    <w:p>
      <w:pPr>
        <w:pStyle w:val="TextBody"/>
      </w:pPr>
      <w:r>
        <w:t xml:space="preserve">主要内容有：进一步简化单证，今年9月30日前，在去年将进出口环节86种监管证件中的40种退出口岸验核的基础上，再将2种涉食品监管证件退出口岸验核；今年12月31日前，《银行调运人民币现钞进出境证明文件》等5个监管证件纳入网上申报、网上办理范围。进一步优化流程、提高通关效率，今年8月31日前，海关总署启动实施进口概要申报、完整申报的“两步申报”通关模式改革试点；深入推进关税保证保险等多元化税收担保制度改革，2019年8月31日前，中国银行保险监督管理委员会、海关总署进一步扩大关税保证保险试点的保险公司范围。进一步提升口岸信息化水平，深化国际贸易“单一窗口”建设，年底前，主要业务应用率达到100%。进一步降低口岸收费，今年9月30日前，相关部门对主要国际班轮运输公司、国际货代公司进行引导督促，落实降费措施。</w:t>
      </w:r>
    </w:p>
    <w:p>
      <w:pPr>
        <w:pStyle w:val="TextBody"/>
      </w:pPr>
      <w:hyperlink r:id="rId54">
        <w:r>
          <w:rPr>
            <w:rStyle w:val="Hyperlink"/>
          </w:rPr>
          <w:t xml:space="preserve">http://www.gov.cn/xinwen/2019-07/04/content_5405824.htm</w:t>
        </w:r>
      </w:hyperlink>
    </w:p>
    <w:p>
      <w:pPr>
        <w:pStyle w:val="Heading3"/>
      </w:pPr>
      <w:bookmarkStart w:id="55" w:name="国内主流钢铁电商深化混改完成新一轮股权融资"/>
      <w:r>
        <w:t xml:space="preserve">国内主流钢铁电商深化混改：完成新一轮股权融资</w:t>
      </w:r>
      <w:bookmarkEnd w:id="55"/>
    </w:p>
    <w:p>
      <w:pPr>
        <w:pStyle w:val="FirstParagraph"/>
      </w:pPr>
      <w:r>
        <w:t xml:space="preserve">国内主流钢铁电商中国宝武集团旗下欧冶云商股份有限公司于2019年6月28日正式宣布，完成新一轮股权融资，进一步深化混合所有制改革。</w:t>
      </w:r>
    </w:p>
    <w:p>
      <w:pPr>
        <w:pStyle w:val="TextBody"/>
      </w:pPr>
      <w:r>
        <w:t xml:space="preserve">在本轮融资中，欧冶云商携手中国国有企业结构调整基金、中信证券投资有限公司、中国外运股份有限公司、太原钢铁（集团）有限公司等8家重量级产业和财务投资机构，进一步深化混合所有制改革，同时原股东宝武集团、宝钢股份、宝钢国际、本钢集团和建信信托继续跟投。本轮股权融资总额超过20亿元人民币，股权融资募集资金将主要用于物流基础设施布局、现代信息技术应用、第三方垂直平台对接等生态圈建设。</w:t>
      </w:r>
    </w:p>
    <w:p>
      <w:pPr>
        <w:pStyle w:val="TextBody"/>
      </w:pPr>
      <w:r>
        <w:t xml:space="preserve">欧冶云商成立于2015年，是中国宝武整合原有大宗商品电子商务相关资源，以全新商业模式发起设立的第三方智慧服务平台。目前平台注册用户约15万家，其中合作钢厂超过250家，合作承运商超过3500家，合作仓库近2000家，今年以来实现了单月持续盈利。欧冶云商于2017年5月完成了首轮股权融资，并同步实施员工持股，是国务院国资委首批十家员工持股试点企业之一。</w:t>
      </w:r>
    </w:p>
    <w:p>
      <w:pPr>
        <w:pStyle w:val="TextBody"/>
      </w:pPr>
      <w:hyperlink r:id="rId56">
        <w:r>
          <w:rPr>
            <w:rStyle w:val="Hyperlink"/>
          </w:rPr>
          <w:t xml:space="preserve">http://www.chinanews.com/ny/2019/06-28/8877947.shtml</w:t>
        </w:r>
      </w:hyperlink>
    </w:p>
    <w:p>
      <w:pPr>
        <w:pStyle w:val="Heading3"/>
      </w:pPr>
      <w:bookmarkStart w:id="57" w:name="我国首部疫苗管理法获通过将实行最严格管理制度"/>
      <w:r>
        <w:t xml:space="preserve">我国首部疫苗管理法获通过，将实行最严格管理制度</w:t>
      </w:r>
      <w:bookmarkEnd w:id="57"/>
    </w:p>
    <w:p>
      <w:pPr>
        <w:pStyle w:val="FirstParagraph"/>
      </w:pPr>
      <w:r>
        <w:t xml:space="preserve">2019年6月29日，十三届全国人大常委会第十一次会议经表决，通过了我国首部《疫苗管理法》。《疫苗管理法》将自2019年12月1日起施行。</w:t>
      </w:r>
    </w:p>
    <w:p>
      <w:pPr>
        <w:pStyle w:val="TextBody"/>
      </w:pPr>
      <w:r>
        <w:t xml:space="preserve">这部法律共十一章一百条，对疫苗研制和注册、疫苗生产和批签发、疫苗流通、预防接种、异常反应监测和处理、疫苗上市后管理、保障措施、监督管理和法律责任等方面进行了明确规定。国家对疫苗实行最严格的管理制度，制定严格的准入制度，对取得药品生产许可证、疫苗上市许可持有人的法定代表人、主要负责人关键岗位人员、疫苗的临床试验均提出了较高的要求。此外，还规定实行疫苗批签发制度、疫苗责任强制保险制度。疫苗上市许可持有人还应当建立疫苗电子追溯系统，与全国疫苗电子追溯协同平台相衔接。上市许可持有人及其相关人员信用记录制度、疫苗质量、预防接种等信息均应当公布、共享。实施接种过程中或者实施接种后出现受种者死亡、严重残疾、器官组织损伤等损害，属于预防接种异常反应或者不能排除的，应当给予补偿。对于违反法律的责任，疫苗管理法明确规定：“依法从重追究刑事责任”。</w:t>
      </w:r>
    </w:p>
    <w:p>
      <w:pPr>
        <w:pStyle w:val="TextBody"/>
      </w:pPr>
      <w:hyperlink r:id="rId58">
        <w:r>
          <w:rPr>
            <w:rStyle w:val="Hyperlink"/>
          </w:rPr>
          <w:t xml:space="preserve">https://www.chinacourt.org/article/detail/2019/06/id/4131338.shtml</w:t>
        </w:r>
      </w:hyperlink>
    </w:p>
    <w:p>
      <w:pPr>
        <w:pStyle w:val="Heading3"/>
      </w:pPr>
      <w:bookmarkStart w:id="59" w:name="月30日即将发行新版人民币1元5角1角硬币"/>
      <w:r>
        <w:t xml:space="preserve">8月30日即将发行新版人民币1元、5角、1角硬币</w:t>
      </w:r>
      <w:bookmarkEnd w:id="59"/>
    </w:p>
    <w:p>
      <w:pPr>
        <w:pStyle w:val="FirstParagraph"/>
      </w:pPr>
      <w:r>
        <w:t xml:space="preserve">央行决定于2019年8月30日起发行2019年版第五套人民币50元、20元、10元、1元纸币和1元、5角、1角硬币。在保持现行第五套人民币主图案等相关要素不变的前提下，对票（币）面效果、防伪特征及其布局等进行了调整，采用先进的防伪技术，提高防伪能力和印制质量，使公众和自助设备易于识别。</w:t>
      </w:r>
    </w:p>
    <w:p>
      <w:pPr>
        <w:pStyle w:val="TextBody"/>
      </w:pPr>
      <w:hyperlink r:id="rId60">
        <w:r>
          <w:rPr>
            <w:rStyle w:val="Hyperlink"/>
          </w:rPr>
          <w:t xml:space="preserve">https://finance.sina.com.cn/money/bank/2019-07-01/doc-ihytcerm0566550.shtml</w:t>
        </w:r>
      </w:hyperlink>
    </w:p>
    <w:p>
      <w:pPr>
        <w:pStyle w:val="Heading3"/>
      </w:pPr>
      <w:bookmarkStart w:id="61" w:name="年夏季达沃斯重点项目签约"/>
      <w:r>
        <w:t xml:space="preserve">2019年夏季达沃斯重点项目签约</w:t>
      </w:r>
      <w:bookmarkEnd w:id="61"/>
    </w:p>
    <w:p>
      <w:pPr>
        <w:pStyle w:val="FirstParagraph"/>
      </w:pPr>
      <w:r>
        <w:t xml:space="preserve">2019年第13届新领军者年会（夏季达沃斯）于2019年7月1日至3日在中国大连举行，主题为“领导力4.0：全球化新时代的成功之道”，来自120多个国家的1800多名商界领袖、政策制定者和专家将参加200多场会议。此次达沃斯的重点项目在2日，共签约16个，其中外资项目10个，内资项目6个，总投资额236亿元人民币。这16个项目涉及信息科技、生物医药、智能装备、文化创意等热点领域，投资方涉及中国、日本、美国、德国、以色列等国家和地区。</w:t>
      </w:r>
    </w:p>
    <w:p>
      <w:pPr>
        <w:pStyle w:val="TextBody"/>
      </w:pPr>
      <w:r>
        <w:t xml:space="preserve">从2007年起，辽宁大连成为夏季达沃斯论坛的长期承办地，7次举办达沃斯论坛为大连国际化发展带来了机遇。据统计，从2007年至今，大连共实现外贸进出口6639亿美元，外资项目4075个，实际利用外资687.9亿美元。目前已有115家世界500强企业在大连投资了275个项目。</w:t>
      </w:r>
    </w:p>
    <w:p>
      <w:pPr>
        <w:pStyle w:val="TextBody"/>
      </w:pPr>
      <w:hyperlink r:id="rId62">
        <w:r>
          <w:rPr>
            <w:rStyle w:val="Hyperlink"/>
          </w:rPr>
          <w:t xml:space="preserve">http://www.chinanews.com/cj/2019/07-02/8881585.shtml</w:t>
        </w:r>
      </w:hyperlink>
    </w:p>
    <w:p>
      <w:pPr>
        <w:pStyle w:val="Heading3"/>
      </w:pPr>
      <w:bookmarkStart w:id="63" w:name="新中国成立70周年之际实施特赦"/>
      <w:r>
        <w:t xml:space="preserve">新中国成立70周年之际实施特赦</w:t>
      </w:r>
      <w:bookmarkEnd w:id="63"/>
    </w:p>
    <w:p>
      <w:pPr>
        <w:pStyle w:val="FirstParagraph"/>
      </w:pPr>
      <w:r>
        <w:t xml:space="preserve">2019年6月29日，国家主席习近平签署发布特赦令，根据十三届全国人大常委会第十一次会议通过的全国人大常委会关于在中华人民共和国成立七十周年之际对部分服刑罪犯予以特赦的决定，对九类服刑罪犯实行特赦。</w:t>
      </w:r>
    </w:p>
    <w:p>
      <w:pPr>
        <w:pStyle w:val="TextBody"/>
      </w:pPr>
      <w:r>
        <w:t xml:space="preserve">根据国家主席特赦令，对依据2019年1月1日前人民法院作出的生效判决正在服刑的九类罪犯实行特赦：一是参加过中国人民抗日战争、中国人民解放战争的；二是中华人民共和国成立以后，参加过保卫国家主权、安全和领土完整对外作战的；三是中华人民共和国成立以后，为国家重大工程建设做过较大贡献并获得省部级以上“劳动模范”、“先进工作者”、“五一劳动奖章”等荣誉称号的；四是曾系现役军人并获得个人一等功以上奖励的；五是因防卫过当或者避险过当，被判处三年以下有期徒刑或者剩余刑期在一年以下的；六是年满七十五周岁、身体严重残疾且生活不能自理的；七是犯罪的时候不满十八周岁，被判处三年以下有期徒刑或者剩余刑期在一年以下的；八是丧偶且有未成年子女或者有身体严重残疾、生活不能自理的子女，确需本人抚养的女性，被判处三年以下有期徒刑或者剩余刑期在一年以下的；九是被裁定假释已执行五分之一以上假释考验期的，或者被判处管制的。</w:t>
      </w:r>
    </w:p>
    <w:p>
      <w:pPr>
        <w:pStyle w:val="TextBody"/>
      </w:pPr>
      <w:r>
        <w:t xml:space="preserve">国家主席特赦令同时明确，上述九类对象中，具有以下情形之一的，不得特赦：一是第二、三、四、七、八、九类对象中系贪污受贿犯罪，军人违反职责犯罪，故意杀人、强奸、抢劫、绑架、放火、爆炸、投放危险物质或者有组织的暴力性犯罪，黑社会性质的组织犯罪，贩卖毒品犯罪，危害国家安全犯罪，恐怖活动犯罪的罪犯，其他有组织犯罪的主犯，累犯的；二是第二、三、四、九类对象中剩余刑期在十年以上的和仍处于无期徒刑、死刑缓期执行期间的；三是曾经被特赦又因犯罪被判处刑罚的；四是不认罪悔改的；五是经评估具有现实社会危险性的。</w:t>
      </w:r>
    </w:p>
    <w:p>
      <w:pPr>
        <w:pStyle w:val="TextBody"/>
      </w:pPr>
      <w:r>
        <w:t xml:space="preserve">国家主席特赦令指示，对2019年6月29日符合上述条件的服刑罪犯，经人民法院依法作出裁定后，予以释放。</w:t>
      </w:r>
    </w:p>
    <w:p>
      <w:pPr>
        <w:pStyle w:val="TextBody"/>
      </w:pPr>
      <w:hyperlink r:id="rId64">
        <w:r>
          <w:rPr>
            <w:rStyle w:val="Hyperlink"/>
          </w:rPr>
          <w:t xml:space="preserve">http://tv.cctv.com/2019/06/30/VIDE6utDvvAfKiPKZeV6wQE2190630.shtml?spm=C96370.PsikHJQ1ICOX.Em32AuyOHUeL.26</w:t>
        </w:r>
      </w:hyperlink>
    </w:p>
    <w:p>
      <w:pPr>
        <w:pStyle w:val="Heading3"/>
      </w:pPr>
      <w:bookmarkStart w:id="65" w:name="年7月施行新规汇总"/>
      <w:r>
        <w:t xml:space="preserve">2019年7月施行新规汇总</w:t>
      </w:r>
      <w:bookmarkEnd w:id="65"/>
    </w:p>
    <w:p>
      <w:pPr>
        <w:pStyle w:val="FirstParagraph"/>
      </w:pPr>
      <w:r>
        <w:t xml:space="preserve">《车辆购置税法》于2018年12月29日表决通过，该法规定，车辆购置税的税率为百分之十。本法自2019年7月1日起施行。</w:t>
      </w:r>
    </w:p>
    <w:p>
      <w:pPr>
        <w:pStyle w:val="TextBody"/>
      </w:pPr>
      <w:r>
        <w:t xml:space="preserve">普通护照和往来港澳通行证将实施降费。从2019年7月1日起，将因私普通护照收费标准由160元/本降为120元/本，往来港澳通行证收费标准由80元/张降为60元/张，今年7月1日前已受理的证件仍按原标准执行。</w:t>
      </w:r>
    </w:p>
    <w:p>
      <w:pPr>
        <w:pStyle w:val="TextBody"/>
      </w:pPr>
      <w:r>
        <w:t xml:space="preserve">2019年6月4日，国家发改委、交通运输部联合印发的《加快推进高速公路电子不停车快捷收费应用服务实施方案》明确，年底高速公路不停车快捷收费率达到90%以上。对ETC用户实施不少于5%的车辆通行费基本优惠，各省份对通行本区域的ETC车辆实行无差别基本优惠政策。此方案自2019年7月1日起施行。</w:t>
      </w:r>
    </w:p>
    <w:p>
      <w:pPr>
        <w:pStyle w:val="TextBody"/>
      </w:pPr>
      <w:r>
        <w:t xml:space="preserve">《中华人民共和国人类遗传资源管理条例》自2019年7月1日起施行。条例从加大保护力度、促进合理利用、加强规范、优化服务监管等方面对中国人类遗传资源管理作了规定。</w:t>
      </w:r>
    </w:p>
    <w:p>
      <w:pPr>
        <w:pStyle w:val="TextBody"/>
      </w:pPr>
      <w:r>
        <w:t xml:space="preserve">《政府投资条例》明确规定，政府投资资金应当投向市场不能有效配置资源的社会公益服务、公共基础设施、农业农村、生态环境保护、重大科技进步、社会管理、国家安全等公共领域的项目，以非经营性项目为主。《条例》自2019年7月1日起施行。</w:t>
      </w:r>
    </w:p>
    <w:p>
      <w:pPr>
        <w:pStyle w:val="TextBody"/>
      </w:pPr>
      <w:r>
        <w:t xml:space="preserve">《交通运输标准化管理办法》规定交通运输标准包括国家标准、行业标准、地方标准、团体标准和企业标准。其中，国家标准分为强制性标准、推荐性标准。《办法》自2019年7月1日起施行。</w:t>
      </w:r>
    </w:p>
    <w:p>
      <w:pPr>
        <w:pStyle w:val="TextBody"/>
      </w:pPr>
      <w:r>
        <w:t xml:space="preserve">地方条例如《上海市生活垃圾管理条例》、《天津市地方金融监督管理条例》、《安徽省统一城乡居民基本医疗保险和大病保险保障待遇实施方案（试行）》均于2019年7月1日起施行。　</w:t>
      </w:r>
    </w:p>
    <w:p>
      <w:pPr>
        <w:pStyle w:val="TextBody"/>
      </w:pPr>
      <w:hyperlink r:id="rId66">
        <w:r>
          <w:rPr>
            <w:rStyle w:val="Hyperlink"/>
          </w:rPr>
          <w:t xml:space="preserve">http://www.xinhuanet.com/legal/2019-07/01/c_1210174237.htm</w:t>
        </w:r>
      </w:hyperlink>
    </w:p>
    <w:p>
      <w:pPr>
        <w:pStyle w:val="Heading2"/>
      </w:pPr>
      <w:bookmarkStart w:id="67" w:name="并购"/>
      <w:r>
        <w:t xml:space="preserve">并购</w:t>
      </w:r>
      <w:bookmarkEnd w:id="67"/>
    </w:p>
    <w:p>
      <w:pPr>
        <w:pStyle w:val="Heading3"/>
      </w:pPr>
      <w:bookmarkStart w:id="68" w:name="家上市公司集体公告确认中船集团与中船重工筹划战略性重组"/>
      <w:r>
        <w:t xml:space="preserve">8家上市公司集体公告确认，中船集团与中船重工筹划战略性重组</w:t>
      </w:r>
      <w:bookmarkEnd w:id="68"/>
    </w:p>
    <w:p>
      <w:pPr>
        <w:pStyle w:val="FirstParagraph"/>
      </w:pPr>
      <w:r>
        <w:t xml:space="preserve">2019年7月1日，8家上市公司中国船舶、中国重工、中国海防、久之洋、中国动力、中国应急、中船防务、中船科技相继发布了一则传达相同信息的公告，中国船舶重工集团有限公司（中船集团）正与中国船舶工业集团有限公司（中船重工）筹划战略性重组。目前有关方案尚未确定，方案亦需获得相关主管部门批准。</w:t>
      </w:r>
    </w:p>
    <w:p>
      <w:pPr>
        <w:pStyle w:val="TextBody"/>
      </w:pPr>
      <w:r>
        <w:t xml:space="preserve">中船集团称为“南船”，中船重工俗称“北船”，均成立于1999年，并由国务院国资委100%控制，中船集团注册地址位于上海，中船重工注册地址位于北京。中船重工2018年已连续7年入选世界500强企业，排名第245位，位居全球船舶企业首位。拥有上市平台公司5家，境外机构18家，二级成员单位95家，其中二级企业66家，科研院所29家，总资产5002亿元，员工17万人。中船集团在世界500强中名列第364位，能够设计、建造符合世界上任何一家船级社规范、满足国际通用技术标准和安全公约要求、适航于任一海区的现代船舶，以及具有国际先进水平的大型海洋工程装备产品。</w:t>
      </w:r>
    </w:p>
    <w:p>
      <w:pPr>
        <w:pStyle w:val="TextBody"/>
      </w:pPr>
      <w:r>
        <w:t xml:space="preserve">2019年3月20日，“南船”旗下的中船科技发布公告称，拟以发行股份的方式收购海鹰集团100%股权，交易价格尚未确定。同年4月4日，“南船”旗下的中船防务披露调整后的重组方案，公司拟与控股股东中船集团进行资产置换，拟置入中船集团持有的沪东重机100%股权、中船动力100%股权、中船动力研究院51%股权、中船三井15%股权。同年6月26日，“北船”旗下的中国动力披露重组草案，拟收购中国船柴等7家子公司少数股权。同日，中国重工发布公告，拟参与关联方中国动力重大资产重组，以公司所持中国船柴17.35%股权、武汉船机15.99%股权认购中国动力本次重大资产重组中非公开发行的股份。</w:t>
      </w:r>
    </w:p>
    <w:p>
      <w:pPr>
        <w:pStyle w:val="TextBody"/>
      </w:pPr>
      <w:hyperlink r:id="rId69">
        <w:r>
          <w:rPr>
            <w:rStyle w:val="Hyperlink"/>
          </w:rPr>
          <w:t xml:space="preserve">http://www.chinanews.com/cj/2019/07-02/8881112.shtml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- 2019年7月5日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7afef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5" Type="http://schemas.openxmlformats.org/officeDocument/2006/relationships/hyperlink" Target="http://finance.chinanews.com/it/2019/06-30/8878830.shtml" TargetMode="External"/><Relationship Id="rId64" Type="http://schemas.openxmlformats.org/officeDocument/2006/relationships/hyperlink" Target="http://tv.cctv.com/2019/06/30/VIDE6utDvvAfKiPKZeV6wQE2190630.shtml?spm=C96370.PsikHJQ1ICOX.Em32AuyOHUeL.26" TargetMode="External"/><Relationship Id="rId28" Type="http://schemas.openxmlformats.org/officeDocument/2006/relationships/hyperlink" Target="http://www.chinaforex.com.cn/index.php/cms/item-view-id-48634.shtml" TargetMode="External"/><Relationship Id="rId24" Type="http://schemas.openxmlformats.org/officeDocument/2006/relationships/hyperlink" Target="http://www.chinaforex.com.cn/index.php/cms/item-view-id-48635.shtml" TargetMode="External"/><Relationship Id="rId39" Type="http://schemas.openxmlformats.org/officeDocument/2006/relationships/hyperlink" Target="http://www.chinanews.com/cj/2019/07-01/8879861.shtml" TargetMode="External"/><Relationship Id="rId69" Type="http://schemas.openxmlformats.org/officeDocument/2006/relationships/hyperlink" Target="http://www.chinanews.com/cj/2019/07-02/8881112.shtml" TargetMode="External"/><Relationship Id="rId62" Type="http://schemas.openxmlformats.org/officeDocument/2006/relationships/hyperlink" Target="http://www.chinanews.com/cj/2019/07-02/8881585.shtml" TargetMode="External"/><Relationship Id="rId56" Type="http://schemas.openxmlformats.org/officeDocument/2006/relationships/hyperlink" Target="http://www.chinanews.com/ny/2019/06-28/8877947.shtml" TargetMode="External"/><Relationship Id="rId47" Type="http://schemas.openxmlformats.org/officeDocument/2006/relationships/hyperlink" Target="http://www.cs.com.cn/cj/hyzx/201907/t20190701_5963841.html" TargetMode="External"/><Relationship Id="rId54" Type="http://schemas.openxmlformats.org/officeDocument/2006/relationships/hyperlink" Target="http://www.gov.cn/xinwen/2019-07/04/content_5405824.htm" TargetMode="External"/><Relationship Id="rId32" Type="http://schemas.openxmlformats.org/officeDocument/2006/relationships/hyperlink" Target="http://www.ifnews.com/17/detail-41445.html" TargetMode="External"/><Relationship Id="rId52" Type="http://schemas.openxmlformats.org/officeDocument/2006/relationships/hyperlink" Target="http://www.ndrc.gov.cn/xwzx/xwfb/201906/t20190630_940564.html" TargetMode="External"/><Relationship Id="rId50" Type="http://schemas.openxmlformats.org/officeDocument/2006/relationships/hyperlink" Target="http://www.ndrc.gov.cn/xwzx/xwfb/201906/t20190630_940565.html" TargetMode="External"/><Relationship Id="rId66" Type="http://schemas.openxmlformats.org/officeDocument/2006/relationships/hyperlink" Target="http://www.xinhuanet.com/legal/2019-07/01/c_1210174237.htm" TargetMode="External"/><Relationship Id="rId26" Type="http://schemas.openxmlformats.org/officeDocument/2006/relationships/hyperlink" Target="http://www.xinhuanet.com/money/2019-07/02/c_1124697681.htm" TargetMode="External"/><Relationship Id="rId35" Type="http://schemas.openxmlformats.org/officeDocument/2006/relationships/hyperlink" Target="http://xw.sinoins.com/2019-07/01/content_296500.htm" TargetMode="External"/><Relationship Id="rId37" Type="http://schemas.openxmlformats.org/officeDocument/2006/relationships/hyperlink" Target="http://xw.sinoins.com/2019-07/03/content_296814.htm" TargetMode="External"/><Relationship Id="rId60" Type="http://schemas.openxmlformats.org/officeDocument/2006/relationships/hyperlink" Target="https://finance.sina.com.cn/money/bank/2019-07-01/doc-ihytcerm0566550.shtml" TargetMode="External"/><Relationship Id="rId30" Type="http://schemas.openxmlformats.org/officeDocument/2006/relationships/hyperlink" Target="https://finance.sina.com.cn/money/bank/bank_hydt/2019-07-01/doc-ihytcerm0651347.shtml" TargetMode="External"/><Relationship Id="rId58" Type="http://schemas.openxmlformats.org/officeDocument/2006/relationships/hyperlink" Target="https://www.chinacourt.org/article/detail/2019/06/id/4131338.shtml" TargetMode="External"/><Relationship Id="rId42" Type="http://schemas.openxmlformats.org/officeDocument/2006/relationships/hyperlink" Target="https://www.chinacourt.org/article/detail/2019/07/id/4145153.shtml" TargetMode="External"/><Relationship Id="rId9" Type="http://schemas.openxmlformats.org/officeDocument/2006/relationships/hyperlink" Target="http://www.charltonslaw.com.cn/yang-hang-jiang-kai-zhan-25-yi-yuan-yang-piao-hu-huan-cao-zu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5" Type="http://schemas.openxmlformats.org/officeDocument/2006/relationships/hyperlink" Target="http://finance.chinanews.com/it/2019/06-30/8878830.shtml" TargetMode="External"/><Relationship Id="rId64" Type="http://schemas.openxmlformats.org/officeDocument/2006/relationships/hyperlink" Target="http://tv.cctv.com/2019/06/30/VIDE6utDvvAfKiPKZeV6wQE2190630.shtml?spm=C96370.PsikHJQ1ICOX.Em32AuyOHUeL.26" TargetMode="External"/><Relationship Id="rId28" Type="http://schemas.openxmlformats.org/officeDocument/2006/relationships/hyperlink" Target="http://www.chinaforex.com.cn/index.php/cms/item-view-id-48634.shtml" TargetMode="External"/><Relationship Id="rId24" Type="http://schemas.openxmlformats.org/officeDocument/2006/relationships/hyperlink" Target="http://www.chinaforex.com.cn/index.php/cms/item-view-id-48635.shtml" TargetMode="External"/><Relationship Id="rId39" Type="http://schemas.openxmlformats.org/officeDocument/2006/relationships/hyperlink" Target="http://www.chinanews.com/cj/2019/07-01/8879861.shtml" TargetMode="External"/><Relationship Id="rId69" Type="http://schemas.openxmlformats.org/officeDocument/2006/relationships/hyperlink" Target="http://www.chinanews.com/cj/2019/07-02/8881112.shtml" TargetMode="External"/><Relationship Id="rId62" Type="http://schemas.openxmlformats.org/officeDocument/2006/relationships/hyperlink" Target="http://www.chinanews.com/cj/2019/07-02/8881585.shtml" TargetMode="External"/><Relationship Id="rId56" Type="http://schemas.openxmlformats.org/officeDocument/2006/relationships/hyperlink" Target="http://www.chinanews.com/ny/2019/06-28/8877947.shtml" TargetMode="External"/><Relationship Id="rId47" Type="http://schemas.openxmlformats.org/officeDocument/2006/relationships/hyperlink" Target="http://www.cs.com.cn/cj/hyzx/201907/t20190701_5963841.html" TargetMode="External"/><Relationship Id="rId54" Type="http://schemas.openxmlformats.org/officeDocument/2006/relationships/hyperlink" Target="http://www.gov.cn/xinwen/2019-07/04/content_5405824.htm" TargetMode="External"/><Relationship Id="rId32" Type="http://schemas.openxmlformats.org/officeDocument/2006/relationships/hyperlink" Target="http://www.ifnews.com/17/detail-41445.html" TargetMode="External"/><Relationship Id="rId52" Type="http://schemas.openxmlformats.org/officeDocument/2006/relationships/hyperlink" Target="http://www.ndrc.gov.cn/xwzx/xwfb/201906/t20190630_940564.html" TargetMode="External"/><Relationship Id="rId50" Type="http://schemas.openxmlformats.org/officeDocument/2006/relationships/hyperlink" Target="http://www.ndrc.gov.cn/xwzx/xwfb/201906/t20190630_940565.html" TargetMode="External"/><Relationship Id="rId66" Type="http://schemas.openxmlformats.org/officeDocument/2006/relationships/hyperlink" Target="http://www.xinhuanet.com/legal/2019-07/01/c_1210174237.htm" TargetMode="External"/><Relationship Id="rId26" Type="http://schemas.openxmlformats.org/officeDocument/2006/relationships/hyperlink" Target="http://www.xinhuanet.com/money/2019-07/02/c_1124697681.htm" TargetMode="External"/><Relationship Id="rId35" Type="http://schemas.openxmlformats.org/officeDocument/2006/relationships/hyperlink" Target="http://xw.sinoins.com/2019-07/01/content_296500.htm" TargetMode="External"/><Relationship Id="rId37" Type="http://schemas.openxmlformats.org/officeDocument/2006/relationships/hyperlink" Target="http://xw.sinoins.com/2019-07/03/content_296814.htm" TargetMode="External"/><Relationship Id="rId60" Type="http://schemas.openxmlformats.org/officeDocument/2006/relationships/hyperlink" Target="https://finance.sina.com.cn/money/bank/2019-07-01/doc-ihytcerm0566550.shtml" TargetMode="External"/><Relationship Id="rId30" Type="http://schemas.openxmlformats.org/officeDocument/2006/relationships/hyperlink" Target="https://finance.sina.com.cn/money/bank/bank_hydt/2019-07-01/doc-ihytcerm0651347.shtml" TargetMode="External"/><Relationship Id="rId58" Type="http://schemas.openxmlformats.org/officeDocument/2006/relationships/hyperlink" Target="https://www.chinacourt.org/article/detail/2019/06/id/4131338.shtml" TargetMode="External"/><Relationship Id="rId42" Type="http://schemas.openxmlformats.org/officeDocument/2006/relationships/hyperlink" Target="https://www.chinacourt.org/article/detail/2019/07/id/414515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2019-07-05T02:42:51Z</dcterms:created>
  <dcterms:modified xsi:type="dcterms:W3CDTF">2019-07-05T02:42:51Z</dcterms:modified>
</cp:coreProperties>
</file>