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3B" w:rsidRDefault="00F66C6A">
      <w:pPr>
        <w:pStyle w:val="BlackStrips"/>
      </w:pPr>
      <w:r>
        <w:t xml:space="preserve">Charltons - </w:t>
      </w:r>
      <w:r>
        <w:t>法讯</w:t>
      </w:r>
      <w:r>
        <w:t xml:space="preserve"> - </w:t>
      </w:r>
      <w:r>
        <w:t>中国</w:t>
      </w:r>
      <w:r>
        <w:t xml:space="preserve"> - 2019</w:t>
      </w:r>
      <w:r>
        <w:t>年</w:t>
      </w:r>
      <w:r>
        <w:t>7</w:t>
      </w:r>
      <w:r>
        <w:t>月</w:t>
      </w:r>
      <w:r>
        <w:t>26</w:t>
      </w:r>
      <w:r>
        <w:t>日</w:t>
      </w:r>
    </w:p>
    <w:p w:rsidR="00E6113B" w:rsidRDefault="00F66C6A">
      <w:pPr>
        <w:pStyle w:val="ReadOnline"/>
      </w:pPr>
      <w:hyperlink r:id="rId7">
        <w:r>
          <w:t>online version</w:t>
        </w:r>
      </w:hyperlink>
    </w:p>
    <w:p w:rsidR="00E6113B" w:rsidRDefault="00F66C6A">
      <w:pPr>
        <w:pStyle w:val="Title"/>
      </w:pPr>
      <w:r>
        <w:t>科创板正式开市交易</w:t>
      </w:r>
    </w:p>
    <w:p w:rsidR="00E6113B" w:rsidRDefault="00F66C6A">
      <w:pPr>
        <w:pStyle w:val="Heading2"/>
      </w:pPr>
      <w:bookmarkStart w:id="0" w:name="简介"/>
      <w:r>
        <w:t>简介</w:t>
      </w:r>
      <w:bookmarkEnd w:id="0"/>
    </w:p>
    <w:p w:rsidR="00E6113B" w:rsidRDefault="00F66C6A">
      <w:pPr>
        <w:pStyle w:val="FirstParagraph"/>
        <w:rPr>
          <w:lang w:eastAsia="zh-CN"/>
        </w:rPr>
      </w:pPr>
      <w:r>
        <w:rPr>
          <w:lang w:eastAsia="zh-CN"/>
        </w:rPr>
        <w:t>科创板正式开市交易；</w:t>
      </w:r>
      <w:r>
        <w:rPr>
          <w:lang w:eastAsia="zh-CN"/>
        </w:rPr>
        <w:t>“11</w:t>
      </w:r>
      <w:r>
        <w:rPr>
          <w:lang w:eastAsia="zh-CN"/>
        </w:rPr>
        <w:t>条关于进一步扩大金融业对外开放的有关举措</w:t>
      </w:r>
      <w:r>
        <w:rPr>
          <w:lang w:eastAsia="zh-CN"/>
        </w:rPr>
        <w:t>”</w:t>
      </w:r>
      <w:r>
        <w:rPr>
          <w:lang w:eastAsia="zh-CN"/>
        </w:rPr>
        <w:t>发布；信托受益权账户管理细则</w:t>
      </w:r>
      <w:r>
        <w:rPr>
          <w:lang w:eastAsia="zh-CN"/>
        </w:rPr>
        <w:t>获批施行</w:t>
      </w:r>
      <w:r>
        <w:t>；</w:t>
      </w:r>
      <w:bookmarkStart w:id="1" w:name="_GoBack"/>
      <w:bookmarkEnd w:id="1"/>
      <w:r>
        <w:rPr>
          <w:lang w:eastAsia="zh-CN"/>
        </w:rPr>
        <w:t>银保监会修订《保险公司偿付能力监管规则</w:t>
      </w:r>
      <w:r>
        <w:rPr>
          <w:lang w:eastAsia="zh-CN"/>
        </w:rPr>
        <w:t>——</w:t>
      </w:r>
      <w:r>
        <w:rPr>
          <w:lang w:eastAsia="zh-CN"/>
        </w:rPr>
        <w:t>问题解答第</w:t>
      </w:r>
      <w:r>
        <w:rPr>
          <w:lang w:eastAsia="zh-CN"/>
        </w:rPr>
        <w:t>1</w:t>
      </w:r>
      <w:r>
        <w:rPr>
          <w:lang w:eastAsia="zh-CN"/>
        </w:rPr>
        <w:t>号》</w:t>
      </w:r>
    </w:p>
    <w:p w:rsidR="00E6113B" w:rsidRDefault="00F66C6A">
      <w:pPr>
        <w:pStyle w:val="Heading2"/>
        <w:rPr>
          <w:lang w:eastAsia="zh-CN"/>
        </w:rPr>
      </w:pPr>
      <w:bookmarkStart w:id="2" w:name="资本市场"/>
      <w:r>
        <w:rPr>
          <w:lang w:eastAsia="zh-CN"/>
        </w:rPr>
        <w:t>资本市场</w:t>
      </w:r>
      <w:bookmarkEnd w:id="2"/>
    </w:p>
    <w:p w:rsidR="00E6113B" w:rsidRDefault="00F66C6A">
      <w:pPr>
        <w:pStyle w:val="Heading3"/>
        <w:rPr>
          <w:lang w:eastAsia="zh-CN"/>
        </w:rPr>
      </w:pPr>
      <w:bookmarkStart w:id="3" w:name="科创板正式开市交易"/>
      <w:r>
        <w:rPr>
          <w:lang w:eastAsia="zh-CN"/>
        </w:rPr>
        <w:t>科创板正式开市交易</w:t>
      </w:r>
      <w:bookmarkEnd w:id="3"/>
    </w:p>
    <w:p w:rsidR="00E6113B" w:rsidRDefault="00F66C6A">
      <w:pPr>
        <w:pStyle w:val="FirstParagraph"/>
        <w:rPr>
          <w:lang w:eastAsia="zh-CN"/>
        </w:rPr>
      </w:pPr>
      <w:r>
        <w:rPr>
          <w:lang w:eastAsia="zh-CN"/>
        </w:rPr>
        <w:t>2019</w:t>
      </w:r>
      <w:r>
        <w:rPr>
          <w:lang w:eastAsia="zh-CN"/>
        </w:rPr>
        <w:t>年</w:t>
      </w:r>
      <w:r>
        <w:rPr>
          <w:lang w:eastAsia="zh-CN"/>
        </w:rPr>
        <w:t>7</w:t>
      </w:r>
      <w:r>
        <w:rPr>
          <w:lang w:eastAsia="zh-CN"/>
        </w:rPr>
        <w:t>月</w:t>
      </w:r>
      <w:r>
        <w:rPr>
          <w:lang w:eastAsia="zh-CN"/>
        </w:rPr>
        <w:t>22</w:t>
      </w:r>
      <w:r>
        <w:rPr>
          <w:lang w:eastAsia="zh-CN"/>
        </w:rPr>
        <w:t>日，科创板正式开市交易，首批</w:t>
      </w:r>
      <w:r>
        <w:rPr>
          <w:lang w:eastAsia="zh-CN"/>
        </w:rPr>
        <w:t>25</w:t>
      </w:r>
      <w:r>
        <w:rPr>
          <w:lang w:eastAsia="zh-CN"/>
        </w:rPr>
        <w:t>只新股集体迎来开门红，总成交额达</w:t>
      </w:r>
      <w:r>
        <w:rPr>
          <w:lang w:eastAsia="zh-CN"/>
        </w:rPr>
        <w:t>485</w:t>
      </w:r>
      <w:r>
        <w:rPr>
          <w:lang w:eastAsia="zh-CN"/>
        </w:rPr>
        <w:t>亿元，个股平均换手率达</w:t>
      </w:r>
      <w:r>
        <w:rPr>
          <w:lang w:eastAsia="zh-CN"/>
        </w:rPr>
        <w:t>77.78%</w:t>
      </w:r>
      <w:r>
        <w:rPr>
          <w:lang w:eastAsia="zh-CN"/>
        </w:rPr>
        <w:t>。截至收盘，首批</w:t>
      </w:r>
      <w:r>
        <w:rPr>
          <w:lang w:eastAsia="zh-CN"/>
        </w:rPr>
        <w:t>25</w:t>
      </w:r>
      <w:r>
        <w:rPr>
          <w:lang w:eastAsia="zh-CN"/>
        </w:rPr>
        <w:t>只新股较发行价平均涨幅达</w:t>
      </w:r>
      <w:r>
        <w:rPr>
          <w:lang w:eastAsia="zh-CN"/>
        </w:rPr>
        <w:t>139.55%</w:t>
      </w:r>
      <w:r>
        <w:rPr>
          <w:lang w:eastAsia="zh-CN"/>
        </w:rPr>
        <w:t>。涨幅排名前五的个股分别是安集科技、西部超导、心脉医疗、澜起科技以及中微公司，涨幅分别达</w:t>
      </w:r>
      <w:r>
        <w:rPr>
          <w:lang w:eastAsia="zh-CN"/>
        </w:rPr>
        <w:t>400.2%</w:t>
      </w:r>
      <w:r>
        <w:rPr>
          <w:lang w:eastAsia="zh-CN"/>
        </w:rPr>
        <w:t>、</w:t>
      </w:r>
      <w:r>
        <w:rPr>
          <w:lang w:eastAsia="zh-CN"/>
        </w:rPr>
        <w:t>266.6%</w:t>
      </w:r>
      <w:r>
        <w:rPr>
          <w:lang w:eastAsia="zh-CN"/>
        </w:rPr>
        <w:t>、</w:t>
      </w:r>
      <w:r>
        <w:rPr>
          <w:lang w:eastAsia="zh-CN"/>
        </w:rPr>
        <w:t>242.4%</w:t>
      </w:r>
      <w:r>
        <w:rPr>
          <w:lang w:eastAsia="zh-CN"/>
        </w:rPr>
        <w:t>、</w:t>
      </w:r>
      <w:r>
        <w:rPr>
          <w:lang w:eastAsia="zh-CN"/>
        </w:rPr>
        <w:t>202.1%</w:t>
      </w:r>
      <w:r>
        <w:rPr>
          <w:lang w:eastAsia="zh-CN"/>
        </w:rPr>
        <w:t>、</w:t>
      </w:r>
      <w:r>
        <w:rPr>
          <w:lang w:eastAsia="zh-CN"/>
        </w:rPr>
        <w:t>179.3%</w:t>
      </w:r>
      <w:r>
        <w:rPr>
          <w:lang w:eastAsia="zh-CN"/>
        </w:rPr>
        <w:t>。</w:t>
      </w:r>
    </w:p>
    <w:p w:rsidR="00E6113B" w:rsidRDefault="00F66C6A">
      <w:pPr>
        <w:pStyle w:val="BodyText"/>
      </w:pPr>
      <w:hyperlink r:id="rId8">
        <w:r>
          <w:t>http://news.cnsto</w:t>
        </w:r>
        <w:r>
          <w:t>ck.com/kcb,tt-201907-4405426.htm</w:t>
        </w:r>
      </w:hyperlink>
    </w:p>
    <w:p w:rsidR="00E6113B" w:rsidRDefault="00F66C6A">
      <w:pPr>
        <w:pStyle w:val="Heading3"/>
        <w:rPr>
          <w:lang w:eastAsia="zh-CN"/>
        </w:rPr>
      </w:pPr>
      <w:bookmarkStart w:id="4" w:name="上海金融法院关于服务保障设立科创板并试点注册制改革的实施意见出台"/>
      <w:r>
        <w:rPr>
          <w:lang w:eastAsia="zh-CN"/>
        </w:rPr>
        <w:t>《上海金融法院关于服务保障设立科创板并试点注册制改革的实施意见》出台</w:t>
      </w:r>
      <w:bookmarkEnd w:id="4"/>
    </w:p>
    <w:p w:rsidR="00E6113B" w:rsidRDefault="00F66C6A">
      <w:pPr>
        <w:pStyle w:val="FirstParagraph"/>
        <w:rPr>
          <w:lang w:eastAsia="zh-CN"/>
        </w:rPr>
      </w:pPr>
      <w:r>
        <w:rPr>
          <w:lang w:eastAsia="zh-CN"/>
        </w:rPr>
        <w:t>近日，上海金融法院出台《上海金融法院关于服务保障设立科创板并试点注册制改革的实施意见》。《实施意见》共包括</w:t>
      </w:r>
      <w:r>
        <w:rPr>
          <w:lang w:eastAsia="zh-CN"/>
        </w:rPr>
        <w:t>23</w:t>
      </w:r>
      <w:r>
        <w:rPr>
          <w:lang w:eastAsia="zh-CN"/>
        </w:rPr>
        <w:t>条具体措施，涵盖完善专业化的审判机制、健全证券群体性诉讼机制、依法加强投资者保护、强化证券侵权责任落实等多个方面。</w:t>
      </w:r>
    </w:p>
    <w:p w:rsidR="00E6113B" w:rsidRDefault="00F66C6A">
      <w:pPr>
        <w:pStyle w:val="BodyText"/>
        <w:rPr>
          <w:lang w:eastAsia="zh-CN"/>
        </w:rPr>
      </w:pPr>
      <w:r>
        <w:rPr>
          <w:lang w:eastAsia="zh-CN"/>
        </w:rPr>
        <w:t>《实施意见》提出，诉讼效率方面，建立涉科创板案件</w:t>
      </w:r>
      <w:r>
        <w:rPr>
          <w:lang w:eastAsia="zh-CN"/>
        </w:rPr>
        <w:t>“</w:t>
      </w:r>
      <w:r>
        <w:rPr>
          <w:lang w:eastAsia="zh-CN"/>
        </w:rPr>
        <w:t>快立、精审、速执</w:t>
      </w:r>
      <w:r>
        <w:rPr>
          <w:lang w:eastAsia="zh-CN"/>
        </w:rPr>
        <w:t>”</w:t>
      </w:r>
      <w:r>
        <w:rPr>
          <w:lang w:eastAsia="zh-CN"/>
        </w:rPr>
        <w:t>绿色通道。在依法加强投资者保护方面，严格落实投资者适当性制度，探索建立行政罚款、刑</w:t>
      </w:r>
      <w:r>
        <w:rPr>
          <w:lang w:eastAsia="zh-CN"/>
        </w:rPr>
        <w:t>事罚金优先用于民事赔偿机制，落实民事赔偿优先原则，推动建立群体性证券案件先行赔付制度，支持依法成立的证券投资者保护机构在证券支持诉讼、公益诉讼以及代表人诉讼中向法院申请开具调查令。对违反信息披露义务的行为，加强民事、行政、刑事责任约束机制，探索建立中介机构及从业人员声誉约束机制。案件执行方面，提出要在执行程序中建立对涉科创板证券侵权执行案件直接责任人的先行执行工作机制，提高证券侵权行为直接责任人的违法违规成本；并允许投资者保护机构作为申请执行人代表投资者申请执行并接受执行款项，再由投资者保护机构通过证券交易</w:t>
      </w:r>
      <w:r>
        <w:rPr>
          <w:lang w:eastAsia="zh-CN"/>
        </w:rPr>
        <w:t>结算系统向胜诉投资者进行二次分配。此外，上海金融法院可运用网络查控系统，主动发现财产线索，高效开展财产保全。</w:t>
      </w:r>
    </w:p>
    <w:p w:rsidR="00E6113B" w:rsidRDefault="00F66C6A">
      <w:pPr>
        <w:pStyle w:val="BodyText"/>
      </w:pPr>
      <w:hyperlink r:id="rId9">
        <w:r>
          <w:t>http://news.cnstock.com/kcb,tt-201907-4406013.htm</w:t>
        </w:r>
      </w:hyperlink>
    </w:p>
    <w:p w:rsidR="00E6113B" w:rsidRDefault="00F66C6A">
      <w:pPr>
        <w:pStyle w:val="Heading3"/>
        <w:rPr>
          <w:lang w:eastAsia="zh-CN"/>
        </w:rPr>
      </w:pPr>
      <w:bookmarkStart w:id="5" w:name="中国证券业协会发布首次公开发行股票配售对象限制名单公告"/>
      <w:r>
        <w:rPr>
          <w:lang w:eastAsia="zh-CN"/>
        </w:rPr>
        <w:t>中国证券业协会发布《首次公开发行股票配售对象限制名单公告》</w:t>
      </w:r>
      <w:bookmarkEnd w:id="5"/>
    </w:p>
    <w:p w:rsidR="00E6113B" w:rsidRDefault="00F66C6A">
      <w:pPr>
        <w:pStyle w:val="FirstParagraph"/>
        <w:rPr>
          <w:lang w:eastAsia="zh-CN"/>
        </w:rPr>
      </w:pPr>
      <w:r>
        <w:rPr>
          <w:lang w:eastAsia="zh-CN"/>
        </w:rPr>
        <w:t>2019</w:t>
      </w:r>
      <w:r>
        <w:rPr>
          <w:lang w:eastAsia="zh-CN"/>
        </w:rPr>
        <w:t>年</w:t>
      </w:r>
      <w:r>
        <w:rPr>
          <w:lang w:eastAsia="zh-CN"/>
        </w:rPr>
        <w:t>7</w:t>
      </w:r>
      <w:r>
        <w:rPr>
          <w:lang w:eastAsia="zh-CN"/>
        </w:rPr>
        <w:t>月</w:t>
      </w:r>
      <w:r>
        <w:rPr>
          <w:lang w:eastAsia="zh-CN"/>
        </w:rPr>
        <w:t>23</w:t>
      </w:r>
      <w:r>
        <w:rPr>
          <w:lang w:eastAsia="zh-CN"/>
        </w:rPr>
        <w:t>日，中国证券业协会发布《首次公开发行股票配售对象限制名单公告》，对超规模申购科创板新股</w:t>
      </w:r>
      <w:r>
        <w:rPr>
          <w:lang w:eastAsia="zh-CN"/>
        </w:rPr>
        <w:t>的</w:t>
      </w:r>
      <w:r>
        <w:rPr>
          <w:lang w:eastAsia="zh-CN"/>
        </w:rPr>
        <w:t>139</w:t>
      </w:r>
      <w:r>
        <w:rPr>
          <w:lang w:eastAsia="zh-CN"/>
        </w:rPr>
        <w:t>只私募产品进行自律处理。</w:t>
      </w:r>
    </w:p>
    <w:p w:rsidR="00E6113B" w:rsidRDefault="00F66C6A">
      <w:pPr>
        <w:pStyle w:val="BodyText"/>
        <w:rPr>
          <w:lang w:eastAsia="zh-CN"/>
        </w:rPr>
      </w:pPr>
      <w:r>
        <w:rPr>
          <w:lang w:eastAsia="zh-CN"/>
        </w:rPr>
        <w:t>中国证券业协会称，为规范首次公开发行股票网下投资者及其配售对象的网下询价与申购行为，根据《科创板首次公开发行股票网下投资者管理细则》规定，对在科创板首批新股发行项目网下询价过程中，存在违反《科创板首次公开发行股票网下投资者管理细则》第十五条第十一项规定的股票配售对象列入限制名单。列入限制名单时限自公告发布之次日（工作日）起计算。</w:t>
      </w:r>
    </w:p>
    <w:p w:rsidR="00E6113B" w:rsidRDefault="00F66C6A">
      <w:pPr>
        <w:pStyle w:val="BodyText"/>
      </w:pPr>
      <w:hyperlink r:id="rId10">
        <w:r>
          <w:t>h</w:t>
        </w:r>
        <w:r>
          <w:t>ttp://news.cnstock.com/news,bwkx-201907-4405810.htm</w:t>
        </w:r>
      </w:hyperlink>
    </w:p>
    <w:p w:rsidR="00E6113B" w:rsidRDefault="00F66C6A">
      <w:pPr>
        <w:pStyle w:val="Heading3"/>
        <w:rPr>
          <w:lang w:eastAsia="zh-CN"/>
        </w:rPr>
      </w:pPr>
      <w:bookmarkStart w:id="6" w:name="银保监会印发商业银行股权托管办法"/>
      <w:r>
        <w:rPr>
          <w:lang w:eastAsia="zh-CN"/>
        </w:rPr>
        <w:lastRenderedPageBreak/>
        <w:t>银保监会印发《商业银行股权托管办法》</w:t>
      </w:r>
      <w:bookmarkEnd w:id="6"/>
    </w:p>
    <w:p w:rsidR="00E6113B" w:rsidRDefault="00F66C6A">
      <w:pPr>
        <w:pStyle w:val="FirstParagraph"/>
        <w:rPr>
          <w:lang w:eastAsia="zh-CN"/>
        </w:rPr>
      </w:pPr>
      <w:r>
        <w:rPr>
          <w:lang w:eastAsia="zh-CN"/>
        </w:rPr>
        <w:t>为落实《商业银行股权管理暂行办法》有关要求，为充分发挥股权托管作用，规范银行股权托管行为，提高银行股权信息透明度与股权管理水平，银保监会近日印发《商业银行股权托管办法》（下称《办法》）。</w:t>
      </w:r>
    </w:p>
    <w:p w:rsidR="00E6113B" w:rsidRDefault="00F66C6A">
      <w:pPr>
        <w:pStyle w:val="BodyText"/>
        <w:rPr>
          <w:lang w:eastAsia="zh-CN"/>
        </w:rPr>
      </w:pPr>
      <w:r>
        <w:rPr>
          <w:lang w:eastAsia="zh-CN"/>
        </w:rPr>
        <w:t>《办法》共四章二十一条，分为总则、商业银行股权的托管、监督管理和附则，主要内容包括：一是明确股权托管方式。二是规定股权托管基本业务框架。三是强化监管部门职责。</w:t>
      </w:r>
    </w:p>
    <w:p w:rsidR="00E6113B" w:rsidRDefault="00F66C6A">
      <w:pPr>
        <w:pStyle w:val="BodyText"/>
        <w:rPr>
          <w:lang w:eastAsia="zh-CN"/>
        </w:rPr>
      </w:pPr>
      <w:r>
        <w:rPr>
          <w:lang w:eastAsia="zh-CN"/>
        </w:rPr>
        <w:t>在《办法》发布的同时，</w:t>
      </w:r>
      <w:r>
        <w:rPr>
          <w:lang w:eastAsia="zh-CN"/>
        </w:rPr>
        <w:t>银保监会配套印发了《关于做好商业银行股权托管办法实施相关工作的通知》（下称《通知》），对商业银行股权托管和股权确权工作明确了过渡期安排，《办法》施行前，未进行股权托管的商业银行，原则上应于</w:t>
      </w:r>
      <w:r>
        <w:rPr>
          <w:lang w:eastAsia="zh-CN"/>
        </w:rPr>
        <w:t>2020</w:t>
      </w:r>
      <w:r>
        <w:rPr>
          <w:lang w:eastAsia="zh-CN"/>
        </w:rPr>
        <w:t>年</w:t>
      </w:r>
      <w:r>
        <w:rPr>
          <w:lang w:eastAsia="zh-CN"/>
        </w:rPr>
        <w:t>6</w:t>
      </w:r>
      <w:r>
        <w:rPr>
          <w:lang w:eastAsia="zh-CN"/>
        </w:rPr>
        <w:t>月底前将股权托管至符合《办法》要求的托管机构。其他股权已托管的商业银行应自《办法》发布之日起，对股权托管机构和股权服务协议是否符合《办法》规定进行自查；如不符合，应于</w:t>
      </w:r>
      <w:r>
        <w:rPr>
          <w:lang w:eastAsia="zh-CN"/>
        </w:rPr>
        <w:t>2020</w:t>
      </w:r>
      <w:r>
        <w:rPr>
          <w:lang w:eastAsia="zh-CN"/>
        </w:rPr>
        <w:t>年</w:t>
      </w:r>
      <w:r>
        <w:rPr>
          <w:lang w:eastAsia="zh-CN"/>
        </w:rPr>
        <w:t>6</w:t>
      </w:r>
      <w:r>
        <w:rPr>
          <w:lang w:eastAsia="zh-CN"/>
        </w:rPr>
        <w:t>月底前完成整改或更换托管机构。各商业银行应在股权托管的同时做好股权确权工作，原则上</w:t>
      </w:r>
      <w:r>
        <w:rPr>
          <w:lang w:eastAsia="zh-CN"/>
        </w:rPr>
        <w:t>2020</w:t>
      </w:r>
      <w:r>
        <w:rPr>
          <w:lang w:eastAsia="zh-CN"/>
        </w:rPr>
        <w:t>年</w:t>
      </w:r>
      <w:r>
        <w:rPr>
          <w:lang w:eastAsia="zh-CN"/>
        </w:rPr>
        <w:t>6</w:t>
      </w:r>
      <w:r>
        <w:rPr>
          <w:lang w:eastAsia="zh-CN"/>
        </w:rPr>
        <w:t>月底前股权确权比例不低于</w:t>
      </w:r>
      <w:r>
        <w:rPr>
          <w:lang w:eastAsia="zh-CN"/>
        </w:rPr>
        <w:t>80%</w:t>
      </w:r>
      <w:r>
        <w:rPr>
          <w:lang w:eastAsia="zh-CN"/>
        </w:rPr>
        <w:t>，</w:t>
      </w:r>
      <w:r>
        <w:rPr>
          <w:lang w:eastAsia="zh-CN"/>
        </w:rPr>
        <w:t>2021</w:t>
      </w:r>
      <w:r>
        <w:rPr>
          <w:lang w:eastAsia="zh-CN"/>
        </w:rPr>
        <w:t>年</w:t>
      </w:r>
      <w:r>
        <w:rPr>
          <w:lang w:eastAsia="zh-CN"/>
        </w:rPr>
        <w:t>12</w:t>
      </w:r>
      <w:r>
        <w:rPr>
          <w:lang w:eastAsia="zh-CN"/>
        </w:rPr>
        <w:t>月底前完成全部股权的确权（因特殊情况无法确权的部分除外）。</w:t>
      </w:r>
    </w:p>
    <w:p w:rsidR="00E6113B" w:rsidRDefault="00F66C6A">
      <w:pPr>
        <w:pStyle w:val="BodyText"/>
      </w:pPr>
      <w:hyperlink r:id="rId11">
        <w:r>
          <w:t>http://news.cnstock.com/news,bwkx-201907-4405714.htm</w:t>
        </w:r>
      </w:hyperlink>
    </w:p>
    <w:p w:rsidR="00E6113B" w:rsidRDefault="00F66C6A">
      <w:pPr>
        <w:pStyle w:val="Heading3"/>
        <w:rPr>
          <w:lang w:eastAsia="zh-CN"/>
        </w:rPr>
      </w:pPr>
      <w:bookmarkStart w:id="7" w:name="人民银行营管部制定中国人民银行营业管理部处理存款准备金违法行为暂行办法"/>
      <w:r>
        <w:rPr>
          <w:lang w:eastAsia="zh-CN"/>
        </w:rPr>
        <w:t>人民银行营管部制定《中国人民银行营业管理部处理存款准备金违法行为暂行办法》</w:t>
      </w:r>
      <w:bookmarkEnd w:id="7"/>
    </w:p>
    <w:p w:rsidR="00E6113B" w:rsidRDefault="00F66C6A">
      <w:pPr>
        <w:pStyle w:val="FirstParagraph"/>
        <w:rPr>
          <w:lang w:eastAsia="zh-CN"/>
        </w:rPr>
      </w:pPr>
      <w:r>
        <w:rPr>
          <w:lang w:eastAsia="zh-CN"/>
        </w:rPr>
        <w:t>人民银行营业管理部制定《中国人民银行营业管理部处理存款准备金违法行为暂行办法》（下称《办法》）并于</w:t>
      </w:r>
      <w:r>
        <w:rPr>
          <w:lang w:eastAsia="zh-CN"/>
        </w:rPr>
        <w:t>2019</w:t>
      </w:r>
      <w:r>
        <w:rPr>
          <w:lang w:eastAsia="zh-CN"/>
        </w:rPr>
        <w:t>年</w:t>
      </w:r>
      <w:r>
        <w:rPr>
          <w:lang w:eastAsia="zh-CN"/>
        </w:rPr>
        <w:t>7</w:t>
      </w:r>
      <w:r>
        <w:rPr>
          <w:lang w:eastAsia="zh-CN"/>
        </w:rPr>
        <w:t>月</w:t>
      </w:r>
      <w:r>
        <w:rPr>
          <w:lang w:eastAsia="zh-CN"/>
        </w:rPr>
        <w:t>22</w:t>
      </w:r>
      <w:r>
        <w:rPr>
          <w:lang w:eastAsia="zh-CN"/>
        </w:rPr>
        <w:t>日公</w:t>
      </w:r>
      <w:r>
        <w:rPr>
          <w:lang w:eastAsia="zh-CN"/>
        </w:rPr>
        <w:t>布。</w:t>
      </w:r>
    </w:p>
    <w:p w:rsidR="00E6113B" w:rsidRDefault="00F66C6A">
      <w:pPr>
        <w:pStyle w:val="BodyText"/>
        <w:rPr>
          <w:lang w:eastAsia="zh-CN"/>
        </w:rPr>
      </w:pPr>
      <w:r>
        <w:rPr>
          <w:lang w:eastAsia="zh-CN"/>
        </w:rPr>
        <w:t>《办法》所称银行业金融机构，是指北京银行、中信百信银行、辖区内各外资银行以及经中国人民银行总行确定由营业管理部负责其存款准备金管理的其他银行。《办法》所称非银行金融机构，是指在京各财务公司、金融租赁公司、汽车金融公司以及经中国人民银行总行确定由营业管理部负责其存款准备金管理的金融机构。所谓存款准备金违法行为，是指金融机构欠交存款准备金以及迟报、错报存款准备金考核相关材料的行为。金融机构欠交存款准备金是指存款准备金账户在一个维持期内的日均余额低于法定存款准备金要求，或者存款准备金账户日终余额低于人民银行</w:t>
      </w:r>
      <w:r>
        <w:rPr>
          <w:lang w:eastAsia="zh-CN"/>
        </w:rPr>
        <w:t>规定的存款准备金每日下限要求。上述任意一种情形发生一次即为存款准备金欠交一次。</w:t>
      </w:r>
    </w:p>
    <w:p w:rsidR="00E6113B" w:rsidRDefault="00F66C6A">
      <w:pPr>
        <w:pStyle w:val="BodyText"/>
        <w:rPr>
          <w:lang w:eastAsia="zh-CN"/>
        </w:rPr>
      </w:pPr>
      <w:r>
        <w:rPr>
          <w:lang w:eastAsia="zh-CN"/>
        </w:rPr>
        <w:t>《办法》明确规定了对金融机构欠交存款准备金的处罚。对金融机构两年内首次欠交存款准备金、欠交金额在交存基数</w:t>
      </w:r>
      <w:r>
        <w:rPr>
          <w:lang w:eastAsia="zh-CN"/>
        </w:rPr>
        <w:t>3%</w:t>
      </w:r>
      <w:r>
        <w:rPr>
          <w:lang w:eastAsia="zh-CN"/>
        </w:rPr>
        <w:t>以内（含</w:t>
      </w:r>
      <w:r>
        <w:rPr>
          <w:lang w:eastAsia="zh-CN"/>
        </w:rPr>
        <w:t>3%</w:t>
      </w:r>
      <w:r>
        <w:rPr>
          <w:lang w:eastAsia="zh-CN"/>
        </w:rPr>
        <w:t>）且及时补足的；金融机构两年内首次欠交存款准备金、欠交金额占交存基数</w:t>
      </w:r>
      <w:r>
        <w:rPr>
          <w:lang w:eastAsia="zh-CN"/>
        </w:rPr>
        <w:t>3%</w:t>
      </w:r>
      <w:r>
        <w:rPr>
          <w:lang w:eastAsia="zh-CN"/>
        </w:rPr>
        <w:t>以上但及时补足的；金融机构两年内第二次欠交存款准备金、欠交金额及时补足的；金融机构两年内第三次及三次以上欠交存款准备金，或欠交金额未及时补足的，依据《中华人民共和国行政处罚法》、《中华人民共和国商业银行法》和《中华人民共和国中国人民银行法》</w:t>
      </w:r>
      <w:r>
        <w:rPr>
          <w:lang w:eastAsia="zh-CN"/>
        </w:rPr>
        <w:t>不同条款进行处罚。</w:t>
      </w:r>
    </w:p>
    <w:p w:rsidR="00E6113B" w:rsidRDefault="00F66C6A">
      <w:pPr>
        <w:pStyle w:val="BodyText"/>
      </w:pPr>
      <w:hyperlink r:id="rId12">
        <w:r>
          <w:t>http://news.cnstock.com/news,bwkx-201907-4405119.htm</w:t>
        </w:r>
      </w:hyperlink>
    </w:p>
    <w:p w:rsidR="00E6113B" w:rsidRDefault="00F66C6A">
      <w:pPr>
        <w:pStyle w:val="Heading3"/>
        <w:rPr>
          <w:lang w:eastAsia="zh-CN"/>
        </w:rPr>
      </w:pPr>
      <w:bookmarkStart w:id="8" w:name="条关于进一步扩大金融业对外开放的有关举措发布"/>
      <w:r>
        <w:rPr>
          <w:lang w:eastAsia="zh-CN"/>
        </w:rPr>
        <w:t>“11</w:t>
      </w:r>
      <w:r>
        <w:rPr>
          <w:lang w:eastAsia="zh-CN"/>
        </w:rPr>
        <w:t>条关于进一步扩大金融业对外开放的有关举措</w:t>
      </w:r>
      <w:r>
        <w:rPr>
          <w:lang w:eastAsia="zh-CN"/>
        </w:rPr>
        <w:t>”</w:t>
      </w:r>
      <w:r>
        <w:rPr>
          <w:lang w:eastAsia="zh-CN"/>
        </w:rPr>
        <w:t>发布</w:t>
      </w:r>
      <w:bookmarkEnd w:id="8"/>
    </w:p>
    <w:p w:rsidR="00E6113B" w:rsidRDefault="00F66C6A">
      <w:pPr>
        <w:pStyle w:val="FirstParagraph"/>
        <w:rPr>
          <w:lang w:eastAsia="zh-CN"/>
        </w:rPr>
      </w:pPr>
      <w:r>
        <w:rPr>
          <w:lang w:eastAsia="zh-CN"/>
        </w:rPr>
        <w:t>2019</w:t>
      </w:r>
      <w:r>
        <w:rPr>
          <w:lang w:eastAsia="zh-CN"/>
        </w:rPr>
        <w:t>年</w:t>
      </w:r>
      <w:r>
        <w:rPr>
          <w:lang w:eastAsia="zh-CN"/>
        </w:rPr>
        <w:t>7</w:t>
      </w:r>
      <w:r>
        <w:rPr>
          <w:lang w:eastAsia="zh-CN"/>
        </w:rPr>
        <w:t>月</w:t>
      </w:r>
      <w:r>
        <w:rPr>
          <w:lang w:eastAsia="zh-CN"/>
        </w:rPr>
        <w:t>20</w:t>
      </w:r>
      <w:r>
        <w:rPr>
          <w:lang w:eastAsia="zh-CN"/>
        </w:rPr>
        <w:t>日，国务院金融稳定发展委员会办公室发布</w:t>
      </w:r>
      <w:r>
        <w:rPr>
          <w:lang w:eastAsia="zh-CN"/>
        </w:rPr>
        <w:t>11</w:t>
      </w:r>
      <w:r>
        <w:rPr>
          <w:lang w:eastAsia="zh-CN"/>
        </w:rPr>
        <w:t>条关于进一步扩大金融业对外开放的有关举措。</w:t>
      </w:r>
    </w:p>
    <w:p w:rsidR="00E6113B" w:rsidRDefault="00F66C6A">
      <w:pPr>
        <w:pStyle w:val="BodyText"/>
        <w:rPr>
          <w:lang w:eastAsia="zh-CN"/>
        </w:rPr>
      </w:pPr>
      <w:r>
        <w:rPr>
          <w:lang w:eastAsia="zh-CN"/>
        </w:rPr>
        <w:t>举措包括：允许外资机构在华开展信用评级业务时，可以对银行间债券市场和交易所债券市场的所有种类债券评级；鼓励境外金融机构参与设立、投资入股商业银行理财子公司；允许境外资产管理机构与中资银行或保险公司的子公司合资设立由外方控股的理财公司；允许境外金融机构投资设立、参股养老金管理公司；支持外资全资设立或参股货币经纪公司；人身险外资股比限制从</w:t>
      </w:r>
      <w:r>
        <w:rPr>
          <w:lang w:eastAsia="zh-CN"/>
        </w:rPr>
        <w:t>51%</w:t>
      </w:r>
      <w:r>
        <w:rPr>
          <w:lang w:eastAsia="zh-CN"/>
        </w:rPr>
        <w:t>提高至</w:t>
      </w:r>
      <w:r>
        <w:rPr>
          <w:lang w:eastAsia="zh-CN"/>
        </w:rPr>
        <w:t>100%</w:t>
      </w:r>
      <w:r>
        <w:rPr>
          <w:lang w:eastAsia="zh-CN"/>
        </w:rPr>
        <w:t>的过渡期，由原定</w:t>
      </w:r>
      <w:r>
        <w:rPr>
          <w:lang w:eastAsia="zh-CN"/>
        </w:rPr>
        <w:t>2021</w:t>
      </w:r>
      <w:r>
        <w:rPr>
          <w:lang w:eastAsia="zh-CN"/>
        </w:rPr>
        <w:t>年提前到</w:t>
      </w:r>
      <w:r>
        <w:rPr>
          <w:lang w:eastAsia="zh-CN"/>
        </w:rPr>
        <w:t>2020</w:t>
      </w:r>
      <w:r>
        <w:rPr>
          <w:lang w:eastAsia="zh-CN"/>
        </w:rPr>
        <w:t>年；取消境内保险公司合计持有保险资产管理公司的股份不得低于</w:t>
      </w:r>
      <w:r>
        <w:rPr>
          <w:lang w:eastAsia="zh-CN"/>
        </w:rPr>
        <w:t>75%</w:t>
      </w:r>
      <w:r>
        <w:rPr>
          <w:lang w:eastAsia="zh-CN"/>
        </w:rPr>
        <w:t>的规定，允许境外投资者持有股份超过</w:t>
      </w:r>
      <w:r>
        <w:rPr>
          <w:lang w:eastAsia="zh-CN"/>
        </w:rPr>
        <w:t>25%</w:t>
      </w:r>
      <w:r>
        <w:rPr>
          <w:lang w:eastAsia="zh-CN"/>
        </w:rPr>
        <w:t>；放宽外资保</w:t>
      </w:r>
      <w:r>
        <w:rPr>
          <w:lang w:eastAsia="zh-CN"/>
        </w:rPr>
        <w:t>险公司准</w:t>
      </w:r>
      <w:r>
        <w:rPr>
          <w:lang w:eastAsia="zh-CN"/>
        </w:rPr>
        <w:lastRenderedPageBreak/>
        <w:t>入条件，取消</w:t>
      </w:r>
      <w:r>
        <w:rPr>
          <w:lang w:eastAsia="zh-CN"/>
        </w:rPr>
        <w:t>30</w:t>
      </w:r>
      <w:r>
        <w:rPr>
          <w:lang w:eastAsia="zh-CN"/>
        </w:rPr>
        <w:t>年经营年限要求；将原定于</w:t>
      </w:r>
      <w:r>
        <w:rPr>
          <w:lang w:eastAsia="zh-CN"/>
        </w:rPr>
        <w:t>2021</w:t>
      </w:r>
      <w:r>
        <w:rPr>
          <w:lang w:eastAsia="zh-CN"/>
        </w:rPr>
        <w:t>年取消证券公司、基金管理公司和期货公司外资股比限制的时点提前到</w:t>
      </w:r>
      <w:r>
        <w:rPr>
          <w:lang w:eastAsia="zh-CN"/>
        </w:rPr>
        <w:t>2020</w:t>
      </w:r>
      <w:r>
        <w:rPr>
          <w:lang w:eastAsia="zh-CN"/>
        </w:rPr>
        <w:t>年；允许外资机构获得银行间债券市场</w:t>
      </w:r>
      <w:r>
        <w:rPr>
          <w:lang w:eastAsia="zh-CN"/>
        </w:rPr>
        <w:t>A</w:t>
      </w:r>
      <w:r>
        <w:rPr>
          <w:lang w:eastAsia="zh-CN"/>
        </w:rPr>
        <w:t>类主承销牌照；进一步便利境外机构投资者投资银行间债券市场。</w:t>
      </w:r>
    </w:p>
    <w:p w:rsidR="00E6113B" w:rsidRDefault="00F66C6A">
      <w:pPr>
        <w:pStyle w:val="BodyText"/>
      </w:pPr>
      <w:hyperlink r:id="rId13">
        <w:r>
          <w:t>http://www.ifnews.com/17/detail-42011.html</w:t>
        </w:r>
      </w:hyperlink>
    </w:p>
    <w:p w:rsidR="00E6113B" w:rsidRDefault="00F66C6A">
      <w:pPr>
        <w:pStyle w:val="Heading3"/>
        <w:rPr>
          <w:lang w:eastAsia="zh-CN"/>
        </w:rPr>
      </w:pPr>
      <w:bookmarkStart w:id="9" w:name="企业银行账户许可全面取消"/>
      <w:r>
        <w:rPr>
          <w:lang w:eastAsia="zh-CN"/>
        </w:rPr>
        <w:t>企业银行账户许可全面取消</w:t>
      </w:r>
      <w:bookmarkEnd w:id="9"/>
    </w:p>
    <w:p w:rsidR="00E6113B" w:rsidRDefault="00F66C6A">
      <w:pPr>
        <w:pStyle w:val="FirstParagraph"/>
      </w:pPr>
      <w:r>
        <w:rPr>
          <w:lang w:eastAsia="zh-CN"/>
        </w:rPr>
        <w:t>自</w:t>
      </w:r>
      <w:r>
        <w:rPr>
          <w:lang w:eastAsia="zh-CN"/>
        </w:rPr>
        <w:t>2019</w:t>
      </w:r>
      <w:r>
        <w:rPr>
          <w:lang w:eastAsia="zh-CN"/>
        </w:rPr>
        <w:t>年</w:t>
      </w:r>
      <w:r>
        <w:rPr>
          <w:lang w:eastAsia="zh-CN"/>
        </w:rPr>
        <w:t>7</w:t>
      </w:r>
      <w:r>
        <w:rPr>
          <w:lang w:eastAsia="zh-CN"/>
        </w:rPr>
        <w:t>月</w:t>
      </w:r>
      <w:r>
        <w:rPr>
          <w:lang w:eastAsia="zh-CN"/>
        </w:rPr>
        <w:t>22</w:t>
      </w:r>
      <w:r>
        <w:rPr>
          <w:lang w:eastAsia="zh-CN"/>
        </w:rPr>
        <w:t>日起，全面取消企业银行账户许可在全</w:t>
      </w:r>
      <w:r>
        <w:rPr>
          <w:lang w:eastAsia="zh-CN"/>
        </w:rPr>
        <w:t>国范围内实现，较计划提前</w:t>
      </w:r>
      <w:r>
        <w:rPr>
          <w:lang w:eastAsia="zh-CN"/>
        </w:rPr>
        <w:t>5</w:t>
      </w:r>
      <w:r>
        <w:rPr>
          <w:lang w:eastAsia="zh-CN"/>
        </w:rPr>
        <w:t>个月。</w:t>
      </w:r>
      <w:r>
        <w:t>取消企业银行账户许可后，境内依法设立的企业法人、非法人企业、个体工商户在银行业金融机构办理基本存款账户、临时存款账户业务，由核准制改为备案制，人民银行不再核发开户许可证。开户许可证不再作为企业办理其他事务的证明文件或依据。</w:t>
      </w:r>
    </w:p>
    <w:p w:rsidR="00E6113B" w:rsidRDefault="00F66C6A">
      <w:pPr>
        <w:pStyle w:val="BodyText"/>
      </w:pPr>
      <w:hyperlink r:id="rId14">
        <w:r>
          <w:t>http://news.cnstock.com/news,jg-201907-4404312.htm</w:t>
        </w:r>
      </w:hyperlink>
    </w:p>
    <w:p w:rsidR="00E6113B" w:rsidRDefault="00F66C6A">
      <w:pPr>
        <w:pStyle w:val="Heading3"/>
      </w:pPr>
      <w:bookmarkStart w:id="10" w:name="银保监会证监会修订商业银行发行优先股相关规定"/>
      <w:r>
        <w:t>银保监会、证监</w:t>
      </w:r>
      <w:r>
        <w:t>会修订商业银行发行优先股相关规定</w:t>
      </w:r>
      <w:bookmarkEnd w:id="10"/>
    </w:p>
    <w:p w:rsidR="00E6113B" w:rsidRDefault="00F66C6A">
      <w:pPr>
        <w:pStyle w:val="FirstParagraph"/>
      </w:pPr>
      <w:r>
        <w:t>2019</w:t>
      </w:r>
      <w:r>
        <w:t>年</w:t>
      </w:r>
      <w:r>
        <w:t>7</w:t>
      </w:r>
      <w:r>
        <w:t>月</w:t>
      </w:r>
      <w:r>
        <w:t>19</w:t>
      </w:r>
      <w:r>
        <w:t>日，银保监会、证监会发布《中国银保监会中国证监会关于商业银行发行优先股补充一级资本的指导意见（修订）》（以下简称《指导意见（修订）》），对商业银行发行优先股补充一级资本的相关规定进行修改，股东人数累计超过</w:t>
      </w:r>
      <w:r>
        <w:t>200</w:t>
      </w:r>
      <w:r>
        <w:t>人的非上市银行，在满足发行条件和审慎监管要求的前提下，将无须在</w:t>
      </w:r>
      <w:r>
        <w:t>“</w:t>
      </w:r>
      <w:r>
        <w:t>新三板</w:t>
      </w:r>
      <w:r>
        <w:t>”</w:t>
      </w:r>
      <w:r>
        <w:t>挂牌即可直接发行优先股。</w:t>
      </w:r>
    </w:p>
    <w:p w:rsidR="00E6113B" w:rsidRDefault="00F66C6A">
      <w:pPr>
        <w:pStyle w:val="BodyText"/>
      </w:pPr>
      <w:hyperlink r:id="rId15">
        <w:r>
          <w:t>http://www.ifnews.com/17/detail-41990.html</w:t>
        </w:r>
      </w:hyperlink>
    </w:p>
    <w:p w:rsidR="00E6113B" w:rsidRDefault="00F66C6A">
      <w:pPr>
        <w:pStyle w:val="Heading3"/>
      </w:pPr>
      <w:bookmarkStart w:id="11" w:name="信托受益权账户管理细则获批施行"/>
      <w:r>
        <w:t>信托受益权账户管理细则获批施行</w:t>
      </w:r>
      <w:bookmarkEnd w:id="11"/>
    </w:p>
    <w:p w:rsidR="00E6113B" w:rsidRDefault="00F66C6A">
      <w:pPr>
        <w:pStyle w:val="FirstParagraph"/>
      </w:pPr>
      <w:r>
        <w:t>为进一步贯彻《信托登记管理办法》（下称《登记办法》）的要求，中国信托登记有限责任公司（下称中国信登）制订了《中国信托登记有限责任公司信托受益权账户管理细则》（下称《账户细则》）并上报。近日，银保监会下达批复，同意施行《账户细则》。《账户细则》包括总则、信托受益权账户类型、代理开户机构管理、账户业务和附则五个章节。</w:t>
      </w:r>
    </w:p>
    <w:p w:rsidR="00E6113B" w:rsidRDefault="00F66C6A">
      <w:pPr>
        <w:pStyle w:val="BodyText"/>
      </w:pPr>
      <w:r>
        <w:t>根据《登记办法》和《账户细则》要求，中国信登将依法合规评估确定代理开户机构，本</w:t>
      </w:r>
      <w:r>
        <w:t>着自愿开户、账户实名、一人一户和信息保密的原则，对自然人账户、金融机构账户、金融产品账户和其他机构账户等信托受益权账户实施集中管理，忠实准确记录信托受益人的信托受益权及其变动情况；同时，将强化自身及代理开户机构责任，切实保障受益人身份信息、账户信息、联系信息的安全，保障市场规范运营。</w:t>
      </w:r>
    </w:p>
    <w:p w:rsidR="00E6113B" w:rsidRDefault="00F66C6A">
      <w:pPr>
        <w:pStyle w:val="BodyText"/>
      </w:pPr>
      <w:hyperlink r:id="rId16">
        <w:r>
          <w:t>http://stock.cnstock.com/stock/smk_xt</w:t>
        </w:r>
        <w:r>
          <w:t>/201907/4404320.htm</w:t>
        </w:r>
      </w:hyperlink>
    </w:p>
    <w:p w:rsidR="00E6113B" w:rsidRDefault="00F66C6A">
      <w:pPr>
        <w:pStyle w:val="Heading3"/>
      </w:pPr>
      <w:bookmarkStart w:id="12" w:name="北京银保监局出台票据业务监管文件"/>
      <w:r>
        <w:t>北京银保监局出台票据业务监管文件</w:t>
      </w:r>
      <w:bookmarkEnd w:id="12"/>
    </w:p>
    <w:p w:rsidR="00E6113B" w:rsidRDefault="00F66C6A">
      <w:pPr>
        <w:pStyle w:val="FirstParagraph"/>
      </w:pPr>
      <w:r>
        <w:t>近日，北京银保监局印发《关于规范银行业金融机构票据业务的监管意见》（京银保监发〔</w:t>
      </w:r>
      <w:r>
        <w:t>2019</w:t>
      </w:r>
      <w:r>
        <w:t>〕</w:t>
      </w:r>
      <w:r>
        <w:t>248</w:t>
      </w:r>
      <w:r>
        <w:t>号，以下简称《意见》），针对北京地区票据领域风险特征和违规现象，重点从资金审查、贸易背景审查、商业承兑汇票业务、高比例担保票据业务以及跨省异地票据业务等五个方面强化规范整治。</w:t>
      </w:r>
    </w:p>
    <w:p w:rsidR="00E6113B" w:rsidRDefault="00F66C6A">
      <w:pPr>
        <w:pStyle w:val="BodyText"/>
      </w:pPr>
      <w:r>
        <w:t>《意见》严格禁止票据直贴业务资金违规回流至贴现申请人任一前手；从客户准入审查、贸易背景资料审查以及限额管理等三个方面细化了贸易背景审查要求；针对银行业机构商业承兑汇票</w:t>
      </w:r>
      <w:r>
        <w:t>业务进行规范；严格禁止银行业机构通过高比例担保票据业务违规调节资产质量、吸收存款或接续到期理财产品；对跨省异地票据业务进行了较为严格的规范。</w:t>
      </w:r>
    </w:p>
    <w:p w:rsidR="00E6113B" w:rsidRDefault="00F66C6A">
      <w:pPr>
        <w:pStyle w:val="BodyText"/>
      </w:pPr>
      <w:hyperlink r:id="rId17">
        <w:r>
          <w:t>http://news.cnstock.com/news,bwkx-201907-4406647.htm</w:t>
        </w:r>
      </w:hyperlink>
    </w:p>
    <w:p w:rsidR="00E6113B" w:rsidRDefault="00F66C6A">
      <w:pPr>
        <w:pStyle w:val="Heading2"/>
      </w:pPr>
      <w:bookmarkStart w:id="13" w:name="保险"/>
      <w:r>
        <w:lastRenderedPageBreak/>
        <w:t>保险</w:t>
      </w:r>
      <w:bookmarkEnd w:id="13"/>
    </w:p>
    <w:p w:rsidR="00E6113B" w:rsidRDefault="00F66C6A">
      <w:pPr>
        <w:pStyle w:val="Heading3"/>
      </w:pPr>
      <w:bookmarkStart w:id="14" w:name="银保监会责令20家财险公司整改问题产品"/>
      <w:r>
        <w:t>银保监会责令</w:t>
      </w:r>
      <w:r>
        <w:t>20</w:t>
      </w:r>
      <w:r>
        <w:t>家财险公司整改问题产品</w:t>
      </w:r>
      <w:bookmarkEnd w:id="14"/>
    </w:p>
    <w:p w:rsidR="00E6113B" w:rsidRDefault="00F66C6A">
      <w:pPr>
        <w:pStyle w:val="FirstParagraph"/>
      </w:pPr>
      <w:r>
        <w:t>近日银保监会向</w:t>
      </w:r>
      <w:r>
        <w:t>20</w:t>
      </w:r>
      <w:r>
        <w:t>家财产保险公司下发行政监管措施决定书，责令公司立即停止使</w:t>
      </w:r>
      <w:r>
        <w:t>用问题产品，限期整改，并对其中情节严重的</w:t>
      </w:r>
      <w:r>
        <w:t>11</w:t>
      </w:r>
      <w:r>
        <w:t>家公司采取禁止申报新备案产品</w:t>
      </w:r>
      <w:r>
        <w:t>3</w:t>
      </w:r>
      <w:r>
        <w:t>至</w:t>
      </w:r>
      <w:r>
        <w:t>6</w:t>
      </w:r>
      <w:r>
        <w:t>个月的监管措施。</w:t>
      </w:r>
    </w:p>
    <w:p w:rsidR="00E6113B" w:rsidRDefault="00F66C6A">
      <w:pPr>
        <w:pStyle w:val="BodyText"/>
      </w:pPr>
      <w:r>
        <w:t>检查发现，财险公司产品中存在的突出问题主要表现为以下几方面：备案类产品中含涉车责任；短期健康保险或责任保险条款中引用已经废止的伤残评定标准；短期健康保险中引入长期保险概念；费用补偿型医疗保险主险条款或费率未区分被保险人有无社保等情况；主险费率浮动条件未明确列明等。此外，财险公司产品还普遍存在不规范或者有瑕疵的情况，主要表现为保险条款命名不规范，保险条款或者保险费率表述不规范，备案表填写有瑕疵，产品归类或信息录入有</w:t>
      </w:r>
      <w:r>
        <w:t>瑕疵，文本表述有瑕疵等。</w:t>
      </w:r>
    </w:p>
    <w:p w:rsidR="00E6113B" w:rsidRDefault="00F66C6A">
      <w:pPr>
        <w:pStyle w:val="BodyText"/>
      </w:pPr>
      <w:hyperlink r:id="rId18">
        <w:r>
          <w:t>http://news.cnstock.com/news,bwkx-201907-4405570.htm</w:t>
        </w:r>
      </w:hyperlink>
    </w:p>
    <w:p w:rsidR="00E6113B" w:rsidRDefault="00F66C6A">
      <w:pPr>
        <w:pStyle w:val="Heading3"/>
      </w:pPr>
      <w:bookmarkStart w:id="15" w:name="加大车险市场整治和监管力度"/>
      <w:r>
        <w:t>​</w:t>
      </w:r>
      <w:r>
        <w:t>加大车险市场整治和监管力度</w:t>
      </w:r>
      <w:bookmarkEnd w:id="15"/>
    </w:p>
    <w:p w:rsidR="00E6113B" w:rsidRDefault="00F66C6A">
      <w:pPr>
        <w:pStyle w:val="FirstParagraph"/>
      </w:pPr>
      <w:r>
        <w:t>银保监会已于近期下发《关于加大车险违法违规行为处理力度有关事项的函》（下称《</w:t>
      </w:r>
      <w:r>
        <w:t>243</w:t>
      </w:r>
      <w:r>
        <w:t>号函》），以进一步加大车险市场整治和监管力度，并为下一步推进车险改革创造良好条件。</w:t>
      </w:r>
    </w:p>
    <w:p w:rsidR="00E6113B" w:rsidRDefault="00F66C6A">
      <w:pPr>
        <w:pStyle w:val="BodyText"/>
      </w:pPr>
      <w:r>
        <w:t>《</w:t>
      </w:r>
      <w:r>
        <w:t>243</w:t>
      </w:r>
      <w:r>
        <w:t>号函》显示，银保监会要求各银保监</w:t>
      </w:r>
      <w:r>
        <w:t>局重点打击</w:t>
      </w:r>
      <w:r>
        <w:t>2019</w:t>
      </w:r>
      <w:r>
        <w:t>年</w:t>
      </w:r>
      <w:r>
        <w:t>7</w:t>
      </w:r>
      <w:r>
        <w:t>月</w:t>
      </w:r>
      <w:r>
        <w:t>1</w:t>
      </w:r>
      <w:r>
        <w:t>日后财险公司仍通过虚列业务及管理费违规支付手续费、给予保险合同外其他利益等违法违规行为。银保监局查实财险公司今年</w:t>
      </w:r>
      <w:r>
        <w:t>7</w:t>
      </w:r>
      <w:r>
        <w:t>月</w:t>
      </w:r>
      <w:r>
        <w:t>1</w:t>
      </w:r>
      <w:r>
        <w:t>日前发生的违法违规行为，继续依据相关要求进行处理。各银保监局应有针对性地开展现场调查，重点是调查带头扰乱市场秩序的大公司以及顶风作案的中小公司。</w:t>
      </w:r>
    </w:p>
    <w:p w:rsidR="00E6113B" w:rsidRDefault="00F66C6A">
      <w:pPr>
        <w:pStyle w:val="BodyText"/>
      </w:pPr>
      <w:r>
        <w:t>此外，银保监会要求各银保监局查实财险公司今年</w:t>
      </w:r>
      <w:r>
        <w:t>7</w:t>
      </w:r>
      <w:r>
        <w:t>月</w:t>
      </w:r>
      <w:r>
        <w:t>1</w:t>
      </w:r>
      <w:r>
        <w:t>日后未按规定使用报批的车险条款和费率的违法违规行为。各银保监局应及时将查处情况报送银保监会财险部，银保监会财险部将综合各派出机构查处的财险公司今年</w:t>
      </w:r>
      <w:r>
        <w:t>7</w:t>
      </w:r>
      <w:r>
        <w:t>月</w:t>
      </w:r>
      <w:r>
        <w:t>1</w:t>
      </w:r>
      <w:r>
        <w:t>日后发生的违法违规情</w:t>
      </w:r>
      <w:r>
        <w:t>况、对相关财险公司采取停止省级分支机构或总公司（即全辖所有分支机构）使用商业车险条款费率的监管措施。</w:t>
      </w:r>
    </w:p>
    <w:p w:rsidR="00E6113B" w:rsidRDefault="00F66C6A">
      <w:pPr>
        <w:pStyle w:val="BodyText"/>
      </w:pPr>
      <w:hyperlink r:id="rId19">
        <w:r>
          <w:t>http://www.ifnews.com/17/detail-42093.html</w:t>
        </w:r>
      </w:hyperlink>
    </w:p>
    <w:p w:rsidR="00E6113B" w:rsidRDefault="00F66C6A">
      <w:pPr>
        <w:pStyle w:val="Heading3"/>
      </w:pPr>
      <w:bookmarkStart w:id="16" w:name="银保监会修订保险公司偿付能力监管规则问题解答第1号"/>
      <w:r>
        <w:t>银保监会修订《保险公司偿付能力监管规则</w:t>
      </w:r>
      <w:r>
        <w:t>——</w:t>
      </w:r>
      <w:r>
        <w:t>问题解答第</w:t>
      </w:r>
      <w:r>
        <w:t>1</w:t>
      </w:r>
      <w:r>
        <w:t>号》</w:t>
      </w:r>
      <w:bookmarkEnd w:id="16"/>
    </w:p>
    <w:p w:rsidR="00E6113B" w:rsidRDefault="00F66C6A">
      <w:pPr>
        <w:pStyle w:val="FirstParagraph"/>
      </w:pPr>
      <w:r>
        <w:t>2019</w:t>
      </w:r>
      <w:r>
        <w:t>年</w:t>
      </w:r>
      <w:r>
        <w:t>7</w:t>
      </w:r>
      <w:r>
        <w:t>月</w:t>
      </w:r>
      <w:r>
        <w:t>22</w:t>
      </w:r>
      <w:r>
        <w:t>日，中国银保监会披露了关于修订《保险公司偿付能力监管规则</w:t>
      </w:r>
      <w:r>
        <w:t>——</w:t>
      </w:r>
      <w:r>
        <w:t>问题解答第</w:t>
      </w:r>
      <w:r>
        <w:t>1</w:t>
      </w:r>
      <w:r>
        <w:t>号：偿付能力监管等效框架协议过渡期内的香港地区再保险交易对手违约风险因子》（下称</w:t>
      </w:r>
      <w:r>
        <w:t>“</w:t>
      </w:r>
      <w:r>
        <w:t>《问题解答第</w:t>
      </w:r>
      <w:r>
        <w:t>1</w:t>
      </w:r>
      <w:r>
        <w:t>号》</w:t>
      </w:r>
      <w:r>
        <w:t>”</w:t>
      </w:r>
      <w:r>
        <w:t>）的通知。《问题解答第</w:t>
      </w:r>
      <w:r>
        <w:t>1</w:t>
      </w:r>
      <w:r>
        <w:t>号》明确将过渡期内香港地区合格再保险机构分入内地直保公司业务时适用的再保险信用风险因子方案期限再延长一年，截止至</w:t>
      </w:r>
      <w:r>
        <w:t>2020</w:t>
      </w:r>
      <w:r>
        <w:t>年</w:t>
      </w:r>
      <w:r>
        <w:t>6</w:t>
      </w:r>
      <w:r>
        <w:t>月</w:t>
      </w:r>
      <w:r>
        <w:t>30</w:t>
      </w:r>
      <w:r>
        <w:t>日。</w:t>
      </w:r>
    </w:p>
    <w:p w:rsidR="00E6113B" w:rsidRDefault="00F66C6A">
      <w:pPr>
        <w:pStyle w:val="BodyText"/>
      </w:pPr>
      <w:r>
        <w:t>境外再保险分入人的偿付能力水平主要分三种情况：第一种是各级偿付能力充足率全部达到监管要求且有担保措施的部分，基础因子为</w:t>
      </w:r>
      <w:r>
        <w:t>0.087</w:t>
      </w:r>
      <w:r>
        <w:t>；第二种为各级偿付能力充足率全部</w:t>
      </w:r>
      <w:r>
        <w:t>达到监管要求且无担保措施的部分，基础因子为</w:t>
      </w:r>
      <w:r>
        <w:t>0.588</w:t>
      </w:r>
      <w:r>
        <w:t>分；第三种为各级偿付能力充足率未全部达到监管要求，基础因子为</w:t>
      </w:r>
      <w:r>
        <w:t>0.867</w:t>
      </w:r>
      <w:r>
        <w:t>。</w:t>
      </w:r>
    </w:p>
    <w:p w:rsidR="00E6113B" w:rsidRDefault="00F66C6A">
      <w:pPr>
        <w:pStyle w:val="BodyText"/>
      </w:pPr>
      <w:r>
        <w:t>根据此前签署的《框架协议》和本次《问题解答第</w:t>
      </w:r>
      <w:r>
        <w:t>1</w:t>
      </w:r>
      <w:r>
        <w:t>号》的修订内容，中国内地直接保险公司向合格的香港再保险机构分出再保险业务时，香港再保险机构适用的再保险交易对手违约风险基础因子为</w:t>
      </w:r>
      <w:r>
        <w:t>0.087</w:t>
      </w:r>
      <w:r>
        <w:t>。这对内地直接保险公司来说，就有更大的动力去选择香港再保险公司分出再保险业务。</w:t>
      </w:r>
    </w:p>
    <w:p w:rsidR="00E6113B" w:rsidRDefault="00F66C6A">
      <w:pPr>
        <w:pStyle w:val="BodyText"/>
      </w:pPr>
      <w:hyperlink r:id="rId20">
        <w:r>
          <w:t>http://www.ifnews.com/17/detail-42056.html</w:t>
        </w:r>
      </w:hyperlink>
    </w:p>
    <w:p w:rsidR="00E6113B" w:rsidRDefault="00F66C6A">
      <w:pPr>
        <w:pStyle w:val="Heading3"/>
      </w:pPr>
      <w:bookmarkStart w:id="17" w:name="财富500强出炉9家保险公司上榜"/>
      <w:r>
        <w:lastRenderedPageBreak/>
        <w:t>2019</w:t>
      </w:r>
      <w:r>
        <w:t>财富</w:t>
      </w:r>
      <w:r>
        <w:t>500</w:t>
      </w:r>
      <w:r>
        <w:t>强出炉，</w:t>
      </w:r>
      <w:r>
        <w:t>9</w:t>
      </w:r>
      <w:r>
        <w:t>家保险公司上榜</w:t>
      </w:r>
      <w:bookmarkEnd w:id="17"/>
    </w:p>
    <w:p w:rsidR="00E6113B" w:rsidRDefault="00F66C6A">
      <w:pPr>
        <w:pStyle w:val="FirstParagraph"/>
      </w:pPr>
      <w:r>
        <w:t>2019</w:t>
      </w:r>
      <w:r>
        <w:t>年《财富》世界</w:t>
      </w:r>
      <w:r>
        <w:t>500</w:t>
      </w:r>
      <w:r>
        <w:t>强榜单揭晓，中国共有</w:t>
      </w:r>
      <w:r>
        <w:t>129</w:t>
      </w:r>
      <w:r>
        <w:t>家企业上榜，上榜企业数量与美国并驾齐驱。进入世界</w:t>
      </w:r>
      <w:r>
        <w:t>500</w:t>
      </w:r>
      <w:r>
        <w:t>强的</w:t>
      </w:r>
      <w:r>
        <w:t>129</w:t>
      </w:r>
      <w:r>
        <w:t>家中国企业中，中国的保险公司占得了</w:t>
      </w:r>
      <w:r>
        <w:t>9</w:t>
      </w:r>
      <w:r>
        <w:t>席，比例达</w:t>
      </w:r>
      <w:r>
        <w:t>6.98%</w:t>
      </w:r>
      <w:r>
        <w:t>。</w:t>
      </w:r>
    </w:p>
    <w:p w:rsidR="00E6113B" w:rsidRDefault="00F66C6A">
      <w:pPr>
        <w:pStyle w:val="BodyText"/>
      </w:pPr>
      <w:r>
        <w:t>这</w:t>
      </w:r>
      <w:r>
        <w:t>9</w:t>
      </w:r>
      <w:r>
        <w:t>家中国险企分别为：中国平安（</w:t>
      </w:r>
      <w:r>
        <w:t>29</w:t>
      </w:r>
      <w:r>
        <w:t>位）、中国人寿（</w:t>
      </w:r>
      <w:r>
        <w:t>51</w:t>
      </w:r>
      <w:r>
        <w:t>位）、中国人保（</w:t>
      </w:r>
      <w:r>
        <w:t>121</w:t>
      </w:r>
      <w:r>
        <w:t>位）、中国太保（</w:t>
      </w:r>
      <w:r>
        <w:t>199</w:t>
      </w:r>
      <w:r>
        <w:t>位）、友邦保险集团（</w:t>
      </w:r>
      <w:r>
        <w:t>388</w:t>
      </w:r>
      <w:r>
        <w:t>位）、华夏保险（</w:t>
      </w:r>
      <w:r>
        <w:t>442</w:t>
      </w:r>
      <w:r>
        <w:t>位）、中国太平（</w:t>
      </w:r>
      <w:r>
        <w:t>451</w:t>
      </w:r>
      <w:r>
        <w:t>位）、国泰人寿（</w:t>
      </w:r>
      <w:r>
        <w:t>455</w:t>
      </w:r>
      <w:r>
        <w:t>位）、泰康</w:t>
      </w:r>
      <w:r>
        <w:t>保险集团（</w:t>
      </w:r>
      <w:r>
        <w:t>498</w:t>
      </w:r>
      <w:r>
        <w:t>位）。</w:t>
      </w:r>
    </w:p>
    <w:p w:rsidR="00E6113B" w:rsidRDefault="00F66C6A">
      <w:pPr>
        <w:pStyle w:val="BodyText"/>
      </w:pPr>
      <w:hyperlink r:id="rId21">
        <w:r>
          <w:t>https://finance.sina.com.cn/roll/2019-07-22/doc-ihytcitm3876875.shtml</w:t>
        </w:r>
      </w:hyperlink>
    </w:p>
    <w:p w:rsidR="00E6113B" w:rsidRDefault="00F66C6A">
      <w:pPr>
        <w:pStyle w:val="Heading2"/>
      </w:pPr>
      <w:bookmarkStart w:id="18" w:name="税收"/>
      <w:r>
        <w:t>税收</w:t>
      </w:r>
      <w:bookmarkEnd w:id="18"/>
    </w:p>
    <w:p w:rsidR="00E6113B" w:rsidRDefault="00F66C6A">
      <w:pPr>
        <w:pStyle w:val="Heading3"/>
      </w:pPr>
      <w:bookmarkStart w:id="19" w:name="减税成绩单披露"/>
      <w:r>
        <w:t>减税成绩单披露</w:t>
      </w:r>
      <w:bookmarkEnd w:id="19"/>
    </w:p>
    <w:p w:rsidR="00E6113B" w:rsidRDefault="00F66C6A">
      <w:pPr>
        <w:pStyle w:val="FirstParagraph"/>
      </w:pPr>
      <w:r>
        <w:t>2019</w:t>
      </w:r>
      <w:r>
        <w:t>年</w:t>
      </w:r>
      <w:r>
        <w:t>7</w:t>
      </w:r>
      <w:r>
        <w:t>月</w:t>
      </w:r>
      <w:r>
        <w:t>23</w:t>
      </w:r>
      <w:r>
        <w:t>日国家税务总局披露的最新减税成绩单显示，上半年我国累计新增减税降费</w:t>
      </w:r>
      <w:r>
        <w:t>11709</w:t>
      </w:r>
      <w:r>
        <w:t>亿元，在其中</w:t>
      </w:r>
      <w:r>
        <w:t>10387</w:t>
      </w:r>
      <w:r>
        <w:t>亿元新增减税中，增值税改革减税金</w:t>
      </w:r>
      <w:r>
        <w:t>额最大，达</w:t>
      </w:r>
      <w:r>
        <w:t>4369</w:t>
      </w:r>
      <w:r>
        <w:t>亿元，个税改革减税幅度最大，两步改革叠加减税</w:t>
      </w:r>
      <w:r>
        <w:t>3077</w:t>
      </w:r>
      <w:r>
        <w:t>亿元，降幅达</w:t>
      </w:r>
      <w:r>
        <w:t>30.6%</w:t>
      </w:r>
      <w:r>
        <w:t>，累计</w:t>
      </w:r>
      <w:r>
        <w:t>1.15</w:t>
      </w:r>
      <w:r>
        <w:t>亿人无需再缴纳工薪所得个人所得税。</w:t>
      </w:r>
    </w:p>
    <w:p w:rsidR="00E6113B" w:rsidRDefault="00F66C6A">
      <w:pPr>
        <w:pStyle w:val="BodyText"/>
      </w:pPr>
      <w:r>
        <w:t>同日，税务总局印发了《关于实施便民办税缴费十条新举措的通知》，针对今年上半年减税降费政策落实中纳税人、缴费人反映的问题，检视并整改推出第一批</w:t>
      </w:r>
      <w:r>
        <w:t>10</w:t>
      </w:r>
      <w:r>
        <w:t>条便民办税缴费新举措，包括推行税收优惠清单式管理，扩大出口退税无纸化申报范围，优化增值税发票查验平台功能，提供应抵扣发票信息提醒服务，推动办税事项容缺办理，规范统一自助办税事项，探索证明事项告知承诺试点，推行纳税人网上解锁报税</w:t>
      </w:r>
      <w:r>
        <w:t>盘，推行城镇土地使用税和房产税合并申报，加大部门间信息共享力度。</w:t>
      </w:r>
    </w:p>
    <w:p w:rsidR="00E6113B" w:rsidRDefault="00F66C6A">
      <w:pPr>
        <w:pStyle w:val="BodyText"/>
      </w:pPr>
      <w:hyperlink r:id="rId22">
        <w:r>
          <w:t>http://news.cnstock.com/news,yw-201907-4405950.htm</w:t>
        </w:r>
      </w:hyperlink>
    </w:p>
    <w:p w:rsidR="00E6113B" w:rsidRDefault="00F66C6A">
      <w:pPr>
        <w:pStyle w:val="Heading3"/>
      </w:pPr>
      <w:bookmarkStart w:id="20" w:name="税务总局派出36个督查组严督实查促减税降费落地"/>
      <w:r>
        <w:t>税务总局派出</w:t>
      </w:r>
      <w:r>
        <w:t>36</w:t>
      </w:r>
      <w:r>
        <w:t>个督查组，严督实查促减税降费落地</w:t>
      </w:r>
      <w:bookmarkEnd w:id="20"/>
    </w:p>
    <w:p w:rsidR="00E6113B" w:rsidRDefault="00F66C6A">
      <w:pPr>
        <w:pStyle w:val="FirstParagraph"/>
      </w:pPr>
      <w:r>
        <w:t>近日，税务总局派出</w:t>
      </w:r>
      <w:r>
        <w:t>36</w:t>
      </w:r>
      <w:r>
        <w:t>个督查组分赴各省、自治区、直辖市和计划单列市税务局，开展减税降费专项督查，了解政策落实情况，在严督实查、对标找差距中检验减税降费落实</w:t>
      </w:r>
      <w:r>
        <w:t>成色，听取各方面各层级意见建议。本次督查征求意见的范围还延伸到纪委监委等外部单位和中介机构。税务部门下一步将聚焦专项督查中发现的问题，督促被督查单位及时整改，全面排查各地存在的共性问题。</w:t>
      </w:r>
    </w:p>
    <w:p w:rsidR="00E6113B" w:rsidRDefault="00F66C6A">
      <w:pPr>
        <w:pStyle w:val="BodyText"/>
      </w:pPr>
      <w:hyperlink r:id="rId23">
        <w:r>
          <w:t>http://news.cnstock.com/news,yw-201907-4404627.htm</w:t>
        </w:r>
      </w:hyperlink>
    </w:p>
    <w:p w:rsidR="00E6113B" w:rsidRDefault="00F66C6A">
      <w:pPr>
        <w:pStyle w:val="Heading2"/>
      </w:pPr>
      <w:bookmarkStart w:id="21" w:name="知产"/>
      <w:r>
        <w:t>知产</w:t>
      </w:r>
      <w:bookmarkEnd w:id="21"/>
    </w:p>
    <w:p w:rsidR="00E6113B" w:rsidRDefault="00F66C6A">
      <w:pPr>
        <w:pStyle w:val="Heading3"/>
      </w:pPr>
      <w:bookmarkStart w:id="22" w:name="江龙船艇甲醇燃料动力船艇下水"/>
      <w:r>
        <w:t>江龙船艇甲醇燃料动力船艇下水</w:t>
      </w:r>
      <w:bookmarkEnd w:id="22"/>
    </w:p>
    <w:p w:rsidR="00E6113B" w:rsidRDefault="00F66C6A">
      <w:pPr>
        <w:pStyle w:val="FirstParagraph"/>
      </w:pPr>
      <w:r>
        <w:t>2019</w:t>
      </w:r>
      <w:r>
        <w:t>年</w:t>
      </w:r>
      <w:r>
        <w:t>7</w:t>
      </w:r>
      <w:r>
        <w:t>月</w:t>
      </w:r>
      <w:r>
        <w:t>23</w:t>
      </w:r>
      <w:r>
        <w:t>日江龙船艇公告称，公司当日召开自主研发甲醇燃料动力船艇下水新闻发布会。为了保持在清洁能源动力船艇领域的竞争优势，公司开展了甲醇燃料动力船艇的研制工作，并成功研发出中国首艘自主知识产权甲醇燃料动力船艇并实现下水。</w:t>
      </w:r>
    </w:p>
    <w:p w:rsidR="00E6113B" w:rsidRDefault="00F66C6A">
      <w:pPr>
        <w:pStyle w:val="BodyText"/>
      </w:pPr>
      <w:hyperlink r:id="rId24">
        <w:r>
          <w:t>http://ggjd.cnstock.com/company/scp_ggjd/tjd_ggkx/201</w:t>
        </w:r>
        <w:r>
          <w:t>907/4405581.htm</w:t>
        </w:r>
      </w:hyperlink>
    </w:p>
    <w:p w:rsidR="00E6113B" w:rsidRDefault="00F66C6A">
      <w:pPr>
        <w:pStyle w:val="Heading3"/>
      </w:pPr>
      <w:bookmarkStart w:id="23" w:name="短视频商用音乐侵权第一案开庭"/>
      <w:r>
        <w:t>短视频商用音乐侵权第一案开庭</w:t>
      </w:r>
      <w:bookmarkEnd w:id="23"/>
    </w:p>
    <w:p w:rsidR="00E6113B" w:rsidRDefault="00F66C6A">
      <w:pPr>
        <w:pStyle w:val="FirstParagraph"/>
      </w:pPr>
      <w:r>
        <w:t>2019</w:t>
      </w:r>
      <w:r>
        <w:t>年</w:t>
      </w:r>
      <w:r>
        <w:t>7</w:t>
      </w:r>
      <w:r>
        <w:t>月</w:t>
      </w:r>
      <w:r>
        <w:t>23</w:t>
      </w:r>
      <w:r>
        <w:t>日下午，</w:t>
      </w:r>
      <w:r>
        <w:t>VFine Music</w:t>
      </w:r>
      <w:r>
        <w:t>起诉短视频</w:t>
      </w:r>
      <w:r>
        <w:t>MCN</w:t>
      </w:r>
      <w:r>
        <w:t>机构</w:t>
      </w:r>
      <w:r>
        <w:t>papitube</w:t>
      </w:r>
      <w:r>
        <w:t>，控告后者侵犯日本知名独立音乐厂牌</w:t>
      </w:r>
      <w:r>
        <w:t>Lullatone</w:t>
      </w:r>
      <w:r>
        <w:t>录音录像制作者权纠纷一案于北京互联网法院正式开庭。</w:t>
      </w:r>
    </w:p>
    <w:p w:rsidR="00E6113B" w:rsidRDefault="00F66C6A">
      <w:pPr>
        <w:pStyle w:val="BodyText"/>
      </w:pPr>
      <w:r>
        <w:lastRenderedPageBreak/>
        <w:t>papitube</w:t>
      </w:r>
      <w:r>
        <w:t>旗下视频博主</w:t>
      </w:r>
      <w:r>
        <w:t>@Bigger</w:t>
      </w:r>
      <w:r>
        <w:t>研究所在广告短视频</w:t>
      </w:r>
      <w:r>
        <w:t>“</w:t>
      </w:r>
      <w:r>
        <w:t>维密后台，奥斯卡红毯必备，美白牙齿小技巧！</w:t>
      </w:r>
      <w:r>
        <w:t>”</w:t>
      </w:r>
      <w:r>
        <w:t>中未经授权使用了</w:t>
      </w:r>
      <w:r>
        <w:t>Lullatone</w:t>
      </w:r>
      <w:r>
        <w:t>于</w:t>
      </w:r>
      <w:r>
        <w:t>2011</w:t>
      </w:r>
      <w:r>
        <w:t>年发布的原创歌曲《</w:t>
      </w:r>
      <w:r>
        <w:t>Walking On the Sidewalk</w:t>
      </w:r>
      <w:r>
        <w:t>》，相关视频全平台总播放量超过</w:t>
      </w:r>
      <w:r>
        <w:t>2039</w:t>
      </w:r>
      <w:r>
        <w:t>万，转赞评</w:t>
      </w:r>
      <w:r>
        <w:t>数据总计超过</w:t>
      </w:r>
      <w:r>
        <w:t>25</w:t>
      </w:r>
      <w:r>
        <w:t>万。</w:t>
      </w:r>
    </w:p>
    <w:p w:rsidR="00E6113B" w:rsidRDefault="00F66C6A">
      <w:pPr>
        <w:pStyle w:val="BodyText"/>
      </w:pPr>
      <w:r>
        <w:t>这是国内首个短视频</w:t>
      </w:r>
      <w:r>
        <w:t>MCN</w:t>
      </w:r>
      <w:r>
        <w:t>机构商用音乐侵权案，</w:t>
      </w:r>
      <w:r>
        <w:t>VFine</w:t>
      </w:r>
      <w:r>
        <w:t>受</w:t>
      </w:r>
      <w:r>
        <w:t>Lullatone</w:t>
      </w:r>
      <w:r>
        <w:t>委托，要求</w:t>
      </w:r>
      <w:r>
        <w:t>papitube</w:t>
      </w:r>
      <w:r>
        <w:t>赔偿音乐版权方经济损失及合理维权开支。</w:t>
      </w:r>
    </w:p>
    <w:p w:rsidR="00E6113B" w:rsidRDefault="00F66C6A">
      <w:pPr>
        <w:pStyle w:val="BodyText"/>
      </w:pPr>
      <w:hyperlink r:id="rId25">
        <w:r>
          <w:t>http://www.ifnews.com/17/detail-42080.html</w:t>
        </w:r>
      </w:hyperlink>
    </w:p>
    <w:p w:rsidR="00E6113B" w:rsidRDefault="00F66C6A">
      <w:pPr>
        <w:pStyle w:val="Heading2"/>
      </w:pPr>
      <w:bookmarkStart w:id="24" w:name="行业"/>
      <w:r>
        <w:t>行业</w:t>
      </w:r>
      <w:bookmarkEnd w:id="24"/>
    </w:p>
    <w:p w:rsidR="00E6113B" w:rsidRDefault="00F66C6A">
      <w:pPr>
        <w:pStyle w:val="Heading3"/>
      </w:pPr>
      <w:bookmarkStart w:id="25" w:name="港版支付宝获批全国通用许可"/>
      <w:r>
        <w:t>港版支付宝获批全国通用许可</w:t>
      </w:r>
      <w:bookmarkEnd w:id="25"/>
    </w:p>
    <w:p w:rsidR="00E6113B" w:rsidRDefault="00F66C6A">
      <w:pPr>
        <w:pStyle w:val="FirstParagraph"/>
      </w:pPr>
      <w:r>
        <w:t>支付宝近日宣布，旗下香港版</w:t>
      </w:r>
      <w:r>
        <w:t>“</w:t>
      </w:r>
      <w:r>
        <w:t>支付宝</w:t>
      </w:r>
      <w:r>
        <w:t>”AlipayHK</w:t>
      </w:r>
      <w:r>
        <w:t>已获许可，其移动支付服务使用范围将由粤港澳大湾区逐步扩</w:t>
      </w:r>
      <w:r>
        <w:t>展到全国其他地区。</w:t>
      </w:r>
    </w:p>
    <w:p w:rsidR="00E6113B" w:rsidRDefault="00F66C6A">
      <w:pPr>
        <w:pStyle w:val="BodyText"/>
      </w:pPr>
      <w:r>
        <w:t>2019</w:t>
      </w:r>
      <w:r>
        <w:t>年</w:t>
      </w:r>
      <w:r>
        <w:t>1</w:t>
      </w:r>
      <w:r>
        <w:t>月，粤港澳大湾区内数十万商铺向</w:t>
      </w:r>
      <w:r>
        <w:t>AlipayHK</w:t>
      </w:r>
      <w:r>
        <w:t>用户开放。据了解，</w:t>
      </w:r>
      <w:r>
        <w:t>AlipayHK</w:t>
      </w:r>
      <w:r>
        <w:t>的用户已超过</w:t>
      </w:r>
      <w:r>
        <w:t>200</w:t>
      </w:r>
      <w:r>
        <w:t>万，在香港覆盖零售商户超过</w:t>
      </w:r>
      <w:r>
        <w:t>5</w:t>
      </w:r>
      <w:r>
        <w:t>万家。除了支付功能外，</w:t>
      </w:r>
      <w:r>
        <w:t>AlipayHK</w:t>
      </w:r>
      <w:r>
        <w:t>还能够提供购买保险、区块链跨境汇款、集印花等本地常用功能，并且正在推动用支付宝技术来实现扫码过闸乘坐香港地铁，最快有望</w:t>
      </w:r>
      <w:r>
        <w:t>2020</w:t>
      </w:r>
      <w:r>
        <w:t>年实现。</w:t>
      </w:r>
    </w:p>
    <w:p w:rsidR="00E6113B" w:rsidRDefault="00F66C6A">
      <w:pPr>
        <w:pStyle w:val="BodyText"/>
      </w:pPr>
      <w:hyperlink r:id="rId26">
        <w:r>
          <w:t>http://news.cnstock.com/news,bwkx-201907-4404498.htm</w:t>
        </w:r>
      </w:hyperlink>
    </w:p>
    <w:p w:rsidR="00E6113B" w:rsidRDefault="00F66C6A">
      <w:pPr>
        <w:pStyle w:val="Heading3"/>
      </w:pPr>
      <w:bookmarkStart w:id="26" w:name="关于深入推进园区环境污染第三方治理的通知印发"/>
      <w:r>
        <w:t>《关于深入推进园区环境污染第三方治理的通知》印发</w:t>
      </w:r>
      <w:bookmarkEnd w:id="26"/>
    </w:p>
    <w:p w:rsidR="00E6113B" w:rsidRDefault="00F66C6A">
      <w:pPr>
        <w:pStyle w:val="FirstParagraph"/>
      </w:pPr>
      <w:r>
        <w:t>近日，国家发展改革委、生态环境部联合印发的《关于深入推进园区环境污染第三方治理的通知》（以下简称《通知》）浮出水面。</w:t>
      </w:r>
    </w:p>
    <w:p w:rsidR="00E6113B" w:rsidRDefault="00F66C6A">
      <w:pPr>
        <w:pStyle w:val="BodyText"/>
      </w:pPr>
      <w:r>
        <w:t>《通知》明确，为服务国家重大战略，在京津冀及周边地区、长江经济带、粤港澳大湾区范围内的园区推行第三方治理。其中京津冀及周边地区重点在钢铁、冶金、建材、电镀等园区开展第三方治理，长江经济带重点在化工、印染等园区开展第三方治理，粤港澳大湾区重</w:t>
      </w:r>
      <w:r>
        <w:t>点在电镀、印染等园区开展第三方治理。第三方治理的</w:t>
      </w:r>
      <w:r>
        <w:t>4</w:t>
      </w:r>
      <w:r>
        <w:t>项主要任务包括，培育第三方治理新模式、规范合作关系、推动第三方治理信息公开、探索实施限期第三方治理等。税收、政策方面也将给予支持。</w:t>
      </w:r>
    </w:p>
    <w:p w:rsidR="00E6113B" w:rsidRDefault="00F66C6A">
      <w:pPr>
        <w:pStyle w:val="BodyText"/>
      </w:pPr>
      <w:hyperlink r:id="rId27">
        <w:r>
          <w:t>http://news.cnstock.com/news,bwkx-201907-4404880.htm</w:t>
        </w:r>
      </w:hyperlink>
    </w:p>
    <w:p w:rsidR="00E6113B" w:rsidRDefault="00F66C6A">
      <w:pPr>
        <w:pStyle w:val="Heading2"/>
      </w:pPr>
      <w:bookmarkStart w:id="27" w:name="并购"/>
      <w:r>
        <w:t>并购</w:t>
      </w:r>
      <w:bookmarkEnd w:id="27"/>
    </w:p>
    <w:p w:rsidR="00E6113B" w:rsidRDefault="00F66C6A">
      <w:pPr>
        <w:pStyle w:val="Heading3"/>
      </w:pPr>
      <w:bookmarkStart w:id="28" w:name="国泰航空完成收购廉航香港快运"/>
      <w:r>
        <w:t>国泰航空完成收购廉航香港快运</w:t>
      </w:r>
      <w:bookmarkEnd w:id="28"/>
    </w:p>
    <w:p w:rsidR="00E6113B" w:rsidRDefault="00F66C6A">
      <w:pPr>
        <w:pStyle w:val="FirstParagraph"/>
      </w:pPr>
      <w:r>
        <w:t>2019</w:t>
      </w:r>
      <w:r>
        <w:t>年</w:t>
      </w:r>
      <w:r>
        <w:t>3</w:t>
      </w:r>
      <w:r>
        <w:t>月，国泰航空公告称，拟以</w:t>
      </w:r>
      <w:r>
        <w:t>49.3</w:t>
      </w:r>
      <w:r>
        <w:t>亿港元的交易价格向</w:t>
      </w:r>
      <w:r>
        <w:t>Hong Kong Express Holding Company Limited</w:t>
      </w:r>
      <w:r>
        <w:t>收购香港快运</w:t>
      </w:r>
      <w:r>
        <w:t>100%</w:t>
      </w:r>
      <w:r>
        <w:t>已发行股本。同年</w:t>
      </w:r>
      <w:r>
        <w:t>7</w:t>
      </w:r>
      <w:r>
        <w:t>月</w:t>
      </w:r>
      <w:r>
        <w:t>19</w:t>
      </w:r>
      <w:r>
        <w:t>日，国泰航空公告称，收购香港快运航空有限公司的</w:t>
      </w:r>
      <w:r>
        <w:t>100%</w:t>
      </w:r>
      <w:r>
        <w:t>股本权益事项已完成。</w:t>
      </w:r>
    </w:p>
    <w:p w:rsidR="00E6113B" w:rsidRDefault="00F66C6A">
      <w:pPr>
        <w:pStyle w:val="BodyText"/>
      </w:pPr>
      <w:r>
        <w:t>香港快运前身为港联航空，</w:t>
      </w:r>
      <w:r>
        <w:t>2007</w:t>
      </w:r>
      <w:r>
        <w:t>年更名为香港快运，并在</w:t>
      </w:r>
      <w:r>
        <w:t>2013</w:t>
      </w:r>
      <w:r>
        <w:t>年正式转型为低成本航空公司。香港快运主要运营往返于中国香港和东南亚以及东北亚地区的短途航线。</w:t>
      </w:r>
      <w:r>
        <w:t>2017</w:t>
      </w:r>
      <w:r>
        <w:t>年国泰航空亏损达至</w:t>
      </w:r>
      <w:r>
        <w:t>12.59</w:t>
      </w:r>
      <w:r>
        <w:t>亿港元。针对亏损业绩，国泰航空开展转型计划。至</w:t>
      </w:r>
      <w:r>
        <w:t>2018</w:t>
      </w:r>
      <w:r>
        <w:t>年，国泰航空全年营收为</w:t>
      </w:r>
      <w:r>
        <w:t>1110.6</w:t>
      </w:r>
      <w:r>
        <w:t>亿港元，扭亏为</w:t>
      </w:r>
      <w:r>
        <w:t>盈。</w:t>
      </w:r>
    </w:p>
    <w:p w:rsidR="00E6113B" w:rsidRDefault="00F66C6A">
      <w:pPr>
        <w:pStyle w:val="BodyText"/>
      </w:pPr>
      <w:r>
        <w:t>此次收购，国泰航空为与香港快运在业务及业务模式方面进行互补，交易预计会产生协同效应。同时，也意味着国泰航空在香港市场少了一个竞争对手。收购后，国泰航空拟继续以廉价航空公司的业务模式营运香港快运，作为一家独立运作的航空公司。</w:t>
      </w:r>
    </w:p>
    <w:p w:rsidR="00E6113B" w:rsidRDefault="00F66C6A">
      <w:pPr>
        <w:pStyle w:val="BodyText"/>
      </w:pPr>
      <w:hyperlink r:id="rId28">
        <w:r>
          <w:t>http://www.ifnews.com/17/detail-41996.html</w:t>
        </w:r>
      </w:hyperlink>
    </w:p>
    <w:p w:rsidR="00E6113B" w:rsidRDefault="00F66C6A">
      <w:pPr>
        <w:pStyle w:val="DisclaimerBold"/>
      </w:pPr>
      <w:r>
        <w:t>此法讯仅为提供相关资料信息之用，其内容并</w:t>
      </w:r>
    </w:p>
    <w:p w:rsidR="00E6113B" w:rsidRDefault="00F66C6A">
      <w:pPr>
        <w:pStyle w:val="Disclaimer"/>
      </w:pPr>
      <w:r>
        <w:t>不构成法律建议及个案的法律分析</w:t>
      </w:r>
      <w:r>
        <w:t>。</w:t>
      </w:r>
    </w:p>
    <w:p w:rsidR="00E6113B" w:rsidRDefault="00F66C6A">
      <w:pPr>
        <w:pStyle w:val="Disclaimer"/>
      </w:pPr>
      <w:r>
        <w:t>此法讯的发送并不是为了在易周律师行与用户或浏览者之间建立一种律师与客户之关系。</w:t>
      </w:r>
    </w:p>
    <w:p w:rsidR="00E6113B" w:rsidRDefault="00F66C6A">
      <w:pPr>
        <w:pStyle w:val="Disclaimer"/>
      </w:pPr>
      <w:r>
        <w:t>易周律师行并不对可从互联网获得的任何第三方内容负责。</w:t>
      </w:r>
    </w:p>
    <w:p w:rsidR="00E6113B" w:rsidRDefault="00F66C6A">
      <w:pPr>
        <w:pStyle w:val="Disclaimer"/>
      </w:pPr>
      <w:r>
        <w:t>如你不希望再收到易周法讯，请发送电邮至</w:t>
      </w:r>
      <w:r>
        <w:t xml:space="preserve">  </w:t>
      </w:r>
      <w:hyperlink r:id="rId29">
        <w:r>
          <w:t>unsubscribe@charltonslaw.com</w:t>
        </w:r>
      </w:hyperlink>
    </w:p>
    <w:p w:rsidR="00E6113B" w:rsidRDefault="00F66C6A">
      <w:pPr>
        <w:pStyle w:val="BlackStrips"/>
      </w:pPr>
      <w:r>
        <w:t xml:space="preserve">Charltons - </w:t>
      </w:r>
      <w:r>
        <w:t>法讯</w:t>
      </w:r>
      <w:r>
        <w:t xml:space="preserve"> - </w:t>
      </w:r>
      <w:r>
        <w:t>中国</w:t>
      </w:r>
      <w:r>
        <w:t xml:space="preserve"> - 2019</w:t>
      </w:r>
      <w:r>
        <w:t>年</w:t>
      </w:r>
      <w:r>
        <w:t>7</w:t>
      </w:r>
      <w:r>
        <w:t>月</w:t>
      </w:r>
      <w:r>
        <w:t>26</w:t>
      </w:r>
      <w:r>
        <w:t>日</w:t>
      </w:r>
    </w:p>
    <w:sectPr w:rsidR="00E6113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6C6A">
      <w:pPr>
        <w:spacing w:after="0"/>
      </w:pPr>
      <w:r>
        <w:separator/>
      </w:r>
    </w:p>
  </w:endnote>
  <w:endnote w:type="continuationSeparator" w:id="0">
    <w:p w:rsidR="00000000" w:rsidRDefault="00F66C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3B" w:rsidRDefault="00F66C6A">
      <w:r>
        <w:separator/>
      </w:r>
    </w:p>
  </w:footnote>
  <w:footnote w:type="continuationSeparator" w:id="0">
    <w:p w:rsidR="00E6113B" w:rsidRDefault="00F66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CE4DEC"/>
    <w:multiLevelType w:val="multilevel"/>
    <w:tmpl w:val="71227E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00E6113B"/>
    <w:rsid w:val="00F66C6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85415E-EB30-4894-9DC3-07F2A0EE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cnstock.com/kcb,tt-201907-4405426.htm" TargetMode="External"/><Relationship Id="rId13" Type="http://schemas.openxmlformats.org/officeDocument/2006/relationships/hyperlink" Target="http://www.ifnews.com/17/detail-42011.html" TargetMode="External"/><Relationship Id="rId18" Type="http://schemas.openxmlformats.org/officeDocument/2006/relationships/hyperlink" Target="http://news.cnstock.com/news,bwkx-201907-4405570.htm" TargetMode="External"/><Relationship Id="rId26" Type="http://schemas.openxmlformats.org/officeDocument/2006/relationships/hyperlink" Target="http://news.cnstock.com/news,bwkx-201907-4404498.htm" TargetMode="External"/><Relationship Id="rId3" Type="http://schemas.openxmlformats.org/officeDocument/2006/relationships/settings" Target="settings.xml"/><Relationship Id="rId21" Type="http://schemas.openxmlformats.org/officeDocument/2006/relationships/hyperlink" Target="https://finance.sina.com.cn/roll/2019-07-22/doc-ihytcitm3876875.shtml" TargetMode="External"/><Relationship Id="rId7" Type="http://schemas.openxmlformats.org/officeDocument/2006/relationships/hyperlink" Target="http://www.charltonslaw.com.cn/ke-chuang-ban-zheng-shi-kai-shi-jiao-yi" TargetMode="External"/><Relationship Id="rId12" Type="http://schemas.openxmlformats.org/officeDocument/2006/relationships/hyperlink" Target="http://news.cnstock.com/news,bwkx-201907-4405119.htm" TargetMode="External"/><Relationship Id="rId17" Type="http://schemas.openxmlformats.org/officeDocument/2006/relationships/hyperlink" Target="http://news.cnstock.com/news,bwkx-201907-4406647.htm" TargetMode="External"/><Relationship Id="rId25" Type="http://schemas.openxmlformats.org/officeDocument/2006/relationships/hyperlink" Target="http://www.ifnews.com/17/detail-42080.html" TargetMode="External"/><Relationship Id="rId2" Type="http://schemas.openxmlformats.org/officeDocument/2006/relationships/styles" Target="styles.xml"/><Relationship Id="rId16" Type="http://schemas.openxmlformats.org/officeDocument/2006/relationships/hyperlink" Target="http://stock.cnstock.com/stock/smk_xt/201907/4404320.htm" TargetMode="External"/><Relationship Id="rId20" Type="http://schemas.openxmlformats.org/officeDocument/2006/relationships/hyperlink" Target="http://www.ifnews.com/17/detail-42056.html" TargetMode="External"/><Relationship Id="rId29"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ews.cnstock.com/news,bwkx-201907-4405714.htm" TargetMode="External"/><Relationship Id="rId24" Type="http://schemas.openxmlformats.org/officeDocument/2006/relationships/hyperlink" Target="http://ggjd.cnstock.com/company/scp_ggjd/tjd_ggkx/201907/4405581.htm" TargetMode="External"/><Relationship Id="rId5" Type="http://schemas.openxmlformats.org/officeDocument/2006/relationships/footnotes" Target="footnotes.xml"/><Relationship Id="rId15" Type="http://schemas.openxmlformats.org/officeDocument/2006/relationships/hyperlink" Target="http://www.ifnews.com/17/detail-41990.html" TargetMode="External"/><Relationship Id="rId23" Type="http://schemas.openxmlformats.org/officeDocument/2006/relationships/hyperlink" Target="http://news.cnstock.com/news,yw-201907-4404627.htm" TargetMode="External"/><Relationship Id="rId28" Type="http://schemas.openxmlformats.org/officeDocument/2006/relationships/hyperlink" Target="http://www.ifnews.com/17/detail-41996.html" TargetMode="External"/><Relationship Id="rId10" Type="http://schemas.openxmlformats.org/officeDocument/2006/relationships/hyperlink" Target="http://news.cnstock.com/news,bwkx-201907-4405810.htm" TargetMode="External"/><Relationship Id="rId19" Type="http://schemas.openxmlformats.org/officeDocument/2006/relationships/hyperlink" Target="http://www.ifnews.com/17/detail-42093.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ews.cnstock.com/kcb,tt-201907-4406013.htm" TargetMode="External"/><Relationship Id="rId14" Type="http://schemas.openxmlformats.org/officeDocument/2006/relationships/hyperlink" Target="http://news.cnstock.com/news,jg-201907-4404312.htm" TargetMode="External"/><Relationship Id="rId22" Type="http://schemas.openxmlformats.org/officeDocument/2006/relationships/hyperlink" Target="http://news.cnstock.com/news,yw-201907-4405950.htm" TargetMode="External"/><Relationship Id="rId27" Type="http://schemas.openxmlformats.org/officeDocument/2006/relationships/hyperlink" Target="http://news.cnstock.com/news,bwkx-201907-4404880.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1500</Words>
  <Characters>8553</Characters>
  <Application>Microsoft Office Word</Application>
  <DocSecurity>0</DocSecurity>
  <Lines>71</Lines>
  <Paragraphs>20</Paragraphs>
  <ScaleCrop>false</ScaleCrop>
  <Company>Charltons</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2019-07-26T03:29:00Z</dcterms:created>
  <dcterms:modified xsi:type="dcterms:W3CDTF">2019-07-26T08:53:00Z</dcterms:modified>
</cp:coreProperties>
</file>