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法讯 - 中国 - 2019年8月16日</w:t>
      </w:r>
    </w:p>
    <w:p>
      <w:pPr>
        <w:pStyle w:val="ReadOnline"/>
      </w:pPr>
      <w:hyperlink r:id="rId9">
        <w:r>
          <w:rPr/>
          <w:t>online version</w:t>
        </w:r>
      </w:hyperlink>
    </w:p>
    <w:p>
      <w:pPr>
        <w:pStyle w:val="Title"/>
      </w:pPr>
      <w:r>
        <w:t>央行发布第二季度中国货币政策执行报告</w:t>
      </w:r>
    </w:p>
    <w:p>
      <w:pPr>
        <w:pStyle w:val="Heading2"/>
      </w:pPr>
      <w:bookmarkStart w:id="21" w:name="简介"/>
      <w:r>
        <w:t xml:space="preserve">简介</w:t>
      </w:r>
      <w:bookmarkEnd w:id="21"/>
    </w:p>
    <w:p>
      <w:pPr>
        <w:pStyle w:val="FirstParagraph"/>
      </w:pPr>
      <w:r>
        <w:t xml:space="preserve">央行发布第二季度中国货币政策执行报告；系统重要性银行评估办法已审议，将出台并推动实施；大商所发布粳米期货合约及细则</w:t>
      </w:r>
    </w:p>
    <w:p>
      <w:pPr>
        <w:pStyle w:val="Heading2"/>
      </w:pPr>
      <w:bookmarkStart w:id="22" w:name="资本市场"/>
      <w:r>
        <w:t xml:space="preserve">资本市场</w:t>
      </w:r>
      <w:bookmarkEnd w:id="22"/>
    </w:p>
    <w:p>
      <w:pPr>
        <w:pStyle w:val="Heading3"/>
      </w:pPr>
      <w:bookmarkStart w:id="23" w:name="央行发布第二季度中国货币政策执行报告"/>
      <w:r>
        <w:t xml:space="preserve">央行发布第二季度中国货币政策执行报告</w:t>
      </w:r>
      <w:bookmarkEnd w:id="23"/>
    </w:p>
    <w:p>
      <w:pPr>
        <w:pStyle w:val="FirstParagraph"/>
      </w:pPr>
      <w:r>
        <w:t xml:space="preserve">2019年8月9日晚，中国人民银行发布了《2019年第二季度中国货币政策执行报告》（以下简称《报告》）。《报告》指出，2019年上半年，中国经济增长保持韧性，继续运行在合理区间，延续总体平稳、稳中有进的发展态势。结构调整继续推进，总供求基本平衡。消费、投资增势平稳，贸易顺差同比有所扩大，物价和就业形势保持稳定。但内外部不确定不稳定因素有所增加，经济仍存在下行压力。总体而言，稳健的货币政策取得了较好成效。6月末，M2同比增长8.5%，社会融资规模存量同比增长10.9%，与名义GDP增速基本匹配。上半年人民币贷款新增9.7万亿元，同比多增6440亿元，多增部分主要投向了民营和小微企业等薄弱环节。6月，企业贷款加权平均利率比上年高点下降0.32个百分点。6月末，CFETS人民币汇率指数为92.66，人民币汇率预期平稳。主要宏观经济指标保持在合理区间，上半年国内生产总值（GDP）同比增长6.3%，居民消费价格（CPI）同比上涨2.2%。</w:t>
      </w:r>
    </w:p>
    <w:p>
      <w:pPr>
        <w:pStyle w:val="TextBody"/>
      </w:pPr>
      <w:r>
        <w:t xml:space="preserve">《报告》指出，下一阶段，央行将注重以供给侧结构性改革的办法稳需求，在推动高质量发展中防范化解风险。</w:t>
      </w:r>
    </w:p>
    <w:p>
      <w:pPr>
        <w:pStyle w:val="TextBody"/>
      </w:pPr>
      <w:hyperlink r:id="rId24">
        <w:r>
          <w:rPr>
            <w:rStyle w:val="Hyperlink"/>
          </w:rPr>
          <w:t xml:space="preserve">http://xw.sinoins.com/2019-08/09/content_300927.htm</w:t>
        </w:r>
      </w:hyperlink>
    </w:p>
    <w:p>
      <w:pPr>
        <w:pStyle w:val="Heading3"/>
      </w:pPr>
      <w:bookmarkStart w:id="25" w:name="外汇局局长潘功胜深化金融改革扩大金融开放"/>
      <w:r>
        <w:t xml:space="preserve">外汇局局长潘功胜：深化金融改革，扩大金融开放</w:t>
      </w:r>
      <w:bookmarkEnd w:id="25"/>
    </w:p>
    <w:p>
      <w:pPr>
        <w:pStyle w:val="FirstParagraph"/>
      </w:pPr>
      <w:r>
        <w:t xml:space="preserve">近日，中国人民银行副行长、国家外汇管理局局长潘功胜发表署名文章表示，近期美国将中国列为所谓的“汇率操纵国”，不会改变中国的外汇管理政策的连续性、稳定性，金融改革仍将持续深化，金融开放仍将持续扩大。</w:t>
      </w:r>
    </w:p>
    <w:p>
      <w:pPr>
        <w:pStyle w:val="TextBody"/>
      </w:pPr>
      <w:r>
        <w:t xml:space="preserve">文章指出，美国财政部2019年8月5日违背基本世界贸易和国际金融的常识和专业精神，以不干预汇率贬值为由将中国列为“汇率操纵国”，此举罔顾美国保护主义下单边关税升级导致国际金融市场普遍调整的基本事实，也与美国5月发布的《美国主要贸易伙伴宏观经济和外汇政策报告》结论不一致，是美国挑起和升级中美经贸摩擦整体策略的一部分，充分体现了其政策评估的不透明性和任意性，国际市场上任何不受美国政府欢迎的价格调整都可能被随意打上外国政府干预的政治标签。</w:t>
      </w:r>
    </w:p>
    <w:p>
      <w:pPr>
        <w:pStyle w:val="TextBody"/>
      </w:pPr>
      <w:hyperlink r:id="rId26">
        <w:r>
          <w:rPr>
            <w:rStyle w:val="Hyperlink"/>
          </w:rPr>
          <w:t xml:space="preserve">http://news.cnstock.com/news,yw-201908-4415760.htm</w:t>
        </w:r>
      </w:hyperlink>
    </w:p>
    <w:p>
      <w:pPr>
        <w:pStyle w:val="Heading3"/>
      </w:pPr>
      <w:bookmarkStart w:id="27" w:name="系统重要性银行评估办法已审议将出台并推动实施"/>
      <w:r>
        <w:t xml:space="preserve">系统重要性银行评估办法已审议，将出台并推动实施</w:t>
      </w:r>
      <w:bookmarkEnd w:id="27"/>
    </w:p>
    <w:p>
      <w:pPr>
        <w:pStyle w:val="FirstParagraph"/>
      </w:pPr>
      <w:r>
        <w:t xml:space="preserve">2018年11月，一行两会联合印发《关于完善系统重要性金融机构监管的指导意见》（下称《意见》）。近期，系统重要性银行评估办法已审议，即将将出台并实施。</w:t>
      </w:r>
    </w:p>
    <w:p>
      <w:pPr>
        <w:pStyle w:val="TextBody"/>
      </w:pPr>
      <w:r>
        <w:t xml:space="preserve">目前，系统重要性金融机构的初始名单尚不明确。但是《意见》已经给出了方向，对参评机构范围规定了资产占比和机构数量两套可选标准：一，若采用金融机构的规模指标，所有参评机构表内外资产总额不低于监管部门统计的同口径上年末该行业总资产的75%；二，若采用金融机构的数量指标，银行业、证券业和保险业参评机构数量分别不少于30家、10家和10家。</w:t>
      </w:r>
    </w:p>
    <w:p>
      <w:pPr>
        <w:pStyle w:val="TextBody"/>
      </w:pPr>
      <w:r>
        <w:t xml:space="preserve">对系统重要性金融机构制定特别监管要求，能增强其持续经营能力，降低发生重大风险的可能性。相关部门采取相应审慎监管措施，确保系统重要性金融机构合理承担风险、避免盲目扩张。建立系统重要性金融机构特别处置机制，推动恢复和处置计划的制定，开展可处置性评估，确保系统重要性金融机构发生重大风险时，能够得到安全、快速、有效处置，保障其关键业务和服务不中断，同时防范“大而不能倒”风险。</w:t>
      </w:r>
    </w:p>
    <w:p>
      <w:pPr>
        <w:pStyle w:val="TextBody"/>
      </w:pPr>
      <w:hyperlink r:id="rId28">
        <w:r>
          <w:rPr>
            <w:rStyle w:val="Hyperlink"/>
          </w:rPr>
          <w:t xml:space="preserve">https://finance.sina.com.cn/money/bank/bank_hydt/2019-08-13/doc-ihytcern0597870.shtml</w:t>
        </w:r>
      </w:hyperlink>
    </w:p>
    <w:p>
      <w:pPr>
        <w:pStyle w:val="Heading3"/>
      </w:pPr>
      <w:bookmarkStart w:id="29" w:name="大商所发布粳米期货合约及细则"/>
      <w:r>
        <w:t xml:space="preserve">大商所发布粳米期货合约及细则</w:t>
      </w:r>
      <w:bookmarkEnd w:id="29"/>
    </w:p>
    <w:p>
      <w:pPr>
        <w:pStyle w:val="FirstParagraph"/>
      </w:pPr>
      <w:r>
        <w:t xml:space="preserve">近日，大连商品交易所发布了《大连商品交易所粳米期货合约》及相关实施细则，本次发布的规则及实施细则包括《大连商品交易所粳米期货合约》、《大连商品交易所粳米期货业务细则》及4项相关规则修正案，相关规则及细则自发布之日起施行。</w:t>
      </w:r>
    </w:p>
    <w:p>
      <w:pPr>
        <w:pStyle w:val="TextBody"/>
      </w:pPr>
      <w:r>
        <w:t xml:space="preserve">据大商所通知 ，粳米期货首批上市交易合约为RR2001至RR2008共8个合约，交易保证金暂定为合约价值的5%，涨跌停板幅度暂定为上一交易日结算价的4%，新合约上市首日涨跌停板幅度为挂盘基准价的8%。考虑粳米是重要的口粮品种，为保证上市初期的平稳运行，粳米期货交易手续费为4元/手。与其他新品种上市不同，粳米期货推出后，其夜盘交易和套利交易将同步开展。保证金制度上，粳米期货将实施与其他品种相同的梯度保证金制度，并设置了提前触发提高保证金的阈值。在临近交割期，按不同时间段调整交割月合约的保证金。限仓制度上，粳米期货对非期货公司会员和客户持仓采取分阶段阶梯式限仓，通过严格的限仓规定有效防控潜在交割风险。</w:t>
      </w:r>
    </w:p>
    <w:p>
      <w:pPr>
        <w:pStyle w:val="TextBody"/>
      </w:pPr>
      <w:hyperlink r:id="rId30">
        <w:r>
          <w:rPr>
            <w:rStyle w:val="Hyperlink"/>
          </w:rPr>
          <w:t xml:space="preserve">http://www.ifnews.com/17/detail-42815.html</w:t>
        </w:r>
      </w:hyperlink>
    </w:p>
    <w:p>
      <w:pPr>
        <w:pStyle w:val="Heading2"/>
      </w:pPr>
      <w:bookmarkStart w:id="31" w:name="保险"/>
      <w:r>
        <w:t xml:space="preserve">保险</w:t>
      </w:r>
      <w:bookmarkEnd w:id="31"/>
    </w:p>
    <w:p>
      <w:pPr>
        <w:pStyle w:val="Heading3"/>
      </w:pPr>
      <w:bookmarkStart w:id="32" w:name="超强台风利奇马财险报损超10亿元20家险企启动紧急预案"/>
      <w:r>
        <w:t xml:space="preserve">超强台风“利奇马”财险报损超10亿元，20家险企启动紧急预案</w:t>
      </w:r>
      <w:bookmarkEnd w:id="32"/>
    </w:p>
    <w:p>
      <w:pPr>
        <w:pStyle w:val="FirstParagraph"/>
      </w:pPr>
      <w:r>
        <w:t xml:space="preserve">今年第9号超强台风“利奇马”于2019年8月10日1时45分前后在浙江省温岭市城南镇登陆，登陆时强度为超强台风级，中心附近最大风力16级，相当于52米/秒，成为今年以来登陆我国强度最强的台风。</w:t>
      </w:r>
    </w:p>
    <w:p>
      <w:pPr>
        <w:pStyle w:val="TextBody"/>
      </w:pPr>
      <w:r>
        <w:t xml:space="preserve">截至8月10日16时，浙江全省（不含宁波）各财险公司共接到因台风“利奇马”造成损失的各类报案30768件，报损10.65亿元，有20余家保险公司启动了紧急预案，积极参与理赔。其中，机动车辆保险接报案27466件，报损6.04亿元，报损金额最大；此外，浙江企财险、工程险、责任险等非车险共接报案2213件，报损3.52亿元；政策性农业保险报案776户，报损1.05亿元；政策性农村住房保险接报案308户，报损328.21万元。</w:t>
      </w:r>
    </w:p>
    <w:p>
      <w:pPr>
        <w:pStyle w:val="TextBody"/>
      </w:pPr>
      <w:r>
        <w:t xml:space="preserve">截至8月10日17时，宁波保险业共接到报案3万余件，报损金额2.3亿余元，已支付赔款223.3万元，预付赔款708.64万元。其中，农业保险报损金额2200万余元，巨灾保险报损金额2400万余元，车险报损金额8700万余元，企财险报损金额近8100万元。</w:t>
      </w:r>
    </w:p>
    <w:p>
      <w:pPr>
        <w:pStyle w:val="TextBody"/>
      </w:pPr>
      <w:hyperlink r:id="rId33">
        <w:r>
          <w:rPr>
            <w:rStyle w:val="Hyperlink"/>
          </w:rPr>
          <w:t xml:space="preserve">http://money.people.com.cn/n1/2019/0812/c42877-31289279.html</w:t>
        </w:r>
      </w:hyperlink>
    </w:p>
    <w:p>
      <w:pPr>
        <w:pStyle w:val="Heading2"/>
      </w:pPr>
      <w:bookmarkStart w:id="34" w:name="税收"/>
      <w:r>
        <w:t xml:space="preserve">税收</w:t>
      </w:r>
      <w:bookmarkEnd w:id="34"/>
    </w:p>
    <w:p>
      <w:pPr>
        <w:pStyle w:val="Heading3"/>
      </w:pPr>
      <w:bookmarkStart w:id="35" w:name="财政部部长刘昆加快推进资源税契税等税种立法的相关工作"/>
      <w:r>
        <w:t xml:space="preserve">财政部部长刘昆：加快推进资源税、契税等税种立法的相关工作</w:t>
      </w:r>
      <w:bookmarkEnd w:id="35"/>
    </w:p>
    <w:p>
      <w:pPr>
        <w:pStyle w:val="FirstParagraph"/>
      </w:pPr>
      <w:r>
        <w:t xml:space="preserve">近日，财政部部长刘昆表示，加快推进中央与地方财政事权和支出责任划分改革。目前，科技、教育、交通等领域财政事权和支出责任划分改革方案已经出台，另有生态环境、应急救援、自然资源等领域改革方案正在研究制定，要抓紧做好修改完善工作，推动改革方案尽早出台。</w:t>
      </w:r>
    </w:p>
    <w:p>
      <w:pPr>
        <w:pStyle w:val="TextBody"/>
      </w:pPr>
      <w:r>
        <w:t xml:space="preserve">方案要求认真落实税收法定原则。目前正在施行的18个税种中，已制定法律的有企业所得税、个人所得税等8个税种。要积极配合全国人大有关方面，加快推进资源税、契税、城市维护建设税、印花税、增值税、土地增值税、关税、消费税等税种立法的相关工作。</w:t>
      </w:r>
    </w:p>
    <w:p>
      <w:pPr>
        <w:pStyle w:val="TextBody"/>
      </w:pPr>
      <w:hyperlink r:id="rId36">
        <w:r>
          <w:rPr>
            <w:rStyle w:val="Hyperlink"/>
          </w:rPr>
          <w:t xml:space="preserve">http://news.cnstock.com/news,bwkx-201908-4416022.htm</w:t>
        </w:r>
      </w:hyperlink>
    </w:p>
    <w:p>
      <w:pPr>
        <w:pStyle w:val="Heading2"/>
      </w:pPr>
      <w:bookmarkStart w:id="37" w:name="知产"/>
      <w:r>
        <w:t xml:space="preserve">知产</w:t>
      </w:r>
      <w:bookmarkEnd w:id="37"/>
    </w:p>
    <w:p>
      <w:pPr>
        <w:pStyle w:val="Heading3"/>
      </w:pPr>
      <w:bookmarkStart w:id="38" w:name="年中国互联网企业100强榜单揭晓"/>
      <w:r>
        <w:t xml:space="preserve">2019年中国互联网企业100强榜单揭晓</w:t>
      </w:r>
      <w:bookmarkEnd w:id="38"/>
    </w:p>
    <w:p>
      <w:pPr>
        <w:pStyle w:val="FirstParagraph"/>
      </w:pPr>
      <w:r>
        <w:t xml:space="preserve">中国互联网协会、工业和信息化部网络安全产业发展中心（工业和信息化部信息中心）在2019年中国互联网企业100强发布会暨百强企业高峰论坛上联合发布了2019年中国互联网企业100强榜单、互联网成长型企业20强榜单和《2019年中国互联网企业100强发展报告》。阿里巴巴（中国）有限公司、深圳市腾讯计算机系统有限责任公司、百度公司、京东集团、浙江蚂蚁小微金融服务集团股份有限公司、网易集团、美团点评、北京字节跳动科技有限公司、三六零安全科技股份有限公司、新浪公司位列榜单前十名。</w:t>
      </w:r>
    </w:p>
    <w:p>
      <w:pPr>
        <w:pStyle w:val="TextBody"/>
      </w:pPr>
      <w:hyperlink r:id="rId39">
        <w:r>
          <w:rPr>
            <w:rStyle w:val="Hyperlink"/>
          </w:rPr>
          <w:t xml:space="preserve">http://news.cnstock.com/news,bwkx-201908-4415948.htm</w:t>
        </w:r>
      </w:hyperlink>
    </w:p>
    <w:p>
      <w:pPr>
        <w:pStyle w:val="Heading3"/>
      </w:pPr>
      <w:bookmarkStart w:id="40" w:name="司法领域加速应用区块链技术"/>
      <w:r>
        <w:t xml:space="preserve">司法领域加速应用区块链技术</w:t>
      </w:r>
      <w:bookmarkEnd w:id="40"/>
    </w:p>
    <w:p>
      <w:pPr>
        <w:pStyle w:val="FirstParagraph"/>
      </w:pPr>
      <w:r>
        <w:t xml:space="preserve">近日，“司法区块链平台建设应用研讨会”上指出，基于蚂蚁区块链技术，最高人民法院正搭建人民法院司法区块链统一平台，目前完成最高人民法院、高院、中院和基层法院四级多省市21家法院，及国家授时中心、多元纠纷调解平台、公证处、司法鉴定中心的27个节点建设，并联合四级法院共完成超1.8亿条数据完成上链存证固证，支持链上取证核验。</w:t>
      </w:r>
    </w:p>
    <w:p>
      <w:pPr>
        <w:pStyle w:val="TextBody"/>
      </w:pPr>
      <w:r>
        <w:t xml:space="preserve">据最高人民法院信息中心数据管理介绍，最高法院信息中心已牵头制定了《司法区块链技术要求》、《司法区块链管理规范》，指导规范全国法院数据上链。</w:t>
      </w:r>
    </w:p>
    <w:p>
      <w:pPr>
        <w:pStyle w:val="TextBody"/>
      </w:pPr>
      <w:hyperlink r:id="rId41">
        <w:r>
          <w:rPr>
            <w:rStyle w:val="Hyperlink"/>
          </w:rPr>
          <w:t xml:space="preserve">http://www.ifnews.com/17/detail-42834.html</w:t>
        </w:r>
      </w:hyperlink>
    </w:p>
    <w:p>
      <w:pPr>
        <w:pStyle w:val="Heading2"/>
      </w:pPr>
      <w:bookmarkStart w:id="42" w:name="行业"/>
      <w:r>
        <w:t xml:space="preserve">行业</w:t>
      </w:r>
      <w:bookmarkEnd w:id="42"/>
    </w:p>
    <w:p>
      <w:pPr>
        <w:pStyle w:val="Heading3"/>
      </w:pPr>
      <w:bookmarkStart w:id="43" w:name="上海全方位开放推出两大新举措扩大服务业开放与发展跨国公司总部经济"/>
      <w:r>
        <w:t xml:space="preserve">上海全方位开放推出两大新举措：扩大服务业开放与发展跨国公司总部经济</w:t>
      </w:r>
      <w:bookmarkEnd w:id="43"/>
    </w:p>
    <w:p>
      <w:pPr>
        <w:pStyle w:val="FirstParagraph"/>
      </w:pPr>
      <w:r>
        <w:t xml:space="preserve">上海市政府于2019年8月13日连发两个重磅文件：《上海市新一轮服务业扩大开放若干措施》（简称《若干措施》），提出放宽服务业外资市场准入限制等8方面40项政策；《促进跨国公司地区总部发展的若干意见》（简称《若干意见》），提出30条政策措施，聚焦提升地区总部能级、促进总部功能发挥。</w:t>
      </w:r>
    </w:p>
    <w:p>
      <w:pPr>
        <w:pStyle w:val="TextBody"/>
      </w:pPr>
      <w:r>
        <w:t xml:space="preserve">服务业开放是上海的重大优势。今年上半年，上海市第三产业增加值11673亿元，增长9.1%。第三产业增加值占全市生产总值的比重为71.2%。《若干措施》提出进一步放宽服务业外资市场的准入限制，减少对外资投资企业开展业务的限制；扩大跨境服务贸易领域开放，减少对自然人移动的限制。同时，提升贸易便利化服务水平，发展数字贸易、现代航运服务业与金融服务业等。</w:t>
      </w:r>
    </w:p>
    <w:p>
      <w:pPr>
        <w:pStyle w:val="TextBody"/>
      </w:pPr>
      <w:r>
        <w:t xml:space="preserve">而《若干意见》提出，上海将进一步鼓励总部集聚，调整总部和总部型机构认定标准；进一步提高跨国公司投资便利度；进一步提高跨国公司资金使用自由度和便利度；进一步提高跨国公司贸易和物流便利化；进一步提高跨国公司研发便利化；进一步加大对总部功能的配套保障。</w:t>
      </w:r>
    </w:p>
    <w:p>
      <w:pPr>
        <w:pStyle w:val="TextBody"/>
      </w:pPr>
      <w:hyperlink r:id="rId44">
        <w:r>
          <w:rPr>
            <w:rStyle w:val="Hyperlink"/>
          </w:rPr>
          <w:t xml:space="preserve">http://news.cnstock.com/news,yw-201908-4415777.htm</w:t>
        </w:r>
      </w:hyperlink>
    </w:p>
    <w:p>
      <w:pPr>
        <w:pStyle w:val="Heading3"/>
      </w:pPr>
      <w:bookmarkStart w:id="45" w:name="上市车企中仅北汽蓝谷7月销量增长"/>
      <w:r>
        <w:t xml:space="preserve">上市车企中仅北汽蓝谷7月销量增长</w:t>
      </w:r>
      <w:bookmarkEnd w:id="45"/>
    </w:p>
    <w:p>
      <w:pPr>
        <w:pStyle w:val="FirstParagraph"/>
      </w:pPr>
      <w:r>
        <w:t xml:space="preserve">中汽协最新数据显示，2019年7月份全国汽车销量181万辆，同比下降4.3%；新能源汽车也受到冲击，全月销量8万辆，环比下降47.5%，同比下降4.7%。</w:t>
      </w:r>
    </w:p>
    <w:p>
      <w:pPr>
        <w:pStyle w:val="TextBody"/>
      </w:pPr>
      <w:r>
        <w:t xml:space="preserve">各家上市车企发布的7月产销数据显示，除北汽蓝谷同比增长28%外，其他均不同程度地出现同比下滑。而这样的“淡季”或延续整个第三季度。从目前多家上市车企披露的2019年半年报（含业绩预告）不难发现，销量下滑、业绩预减甚至亏损成为主旋律。上汽集团7月销售43.98万辆，同比下滑9.29%；长安汽车今年前7个月总销售量为94.48万辆，相比去年同期的133.61万辆同比减少39.13万辆，降幅近三成；广汽集团共销售汽车合计115.76万辆，同比微跌2.44%。</w:t>
      </w:r>
    </w:p>
    <w:p>
      <w:pPr>
        <w:pStyle w:val="TextBody"/>
      </w:pPr>
      <w:hyperlink r:id="rId46">
        <w:r>
          <w:rPr>
            <w:rStyle w:val="Hyperlink"/>
          </w:rPr>
          <w:t xml:space="preserve">http://company.cnstock.com/company/scp_gsxw/201908/4415784.htm</w:t>
        </w:r>
      </w:hyperlink>
    </w:p>
    <w:p>
      <w:pPr>
        <w:pStyle w:val="Heading3"/>
      </w:pPr>
      <w:bookmarkStart w:id="47" w:name="国办9月底前修订形成新版市场准入负面清单"/>
      <w:r>
        <w:t xml:space="preserve">国办：9月底前修订形成新版市场准入负面清单</w:t>
      </w:r>
      <w:bookmarkEnd w:id="47"/>
    </w:p>
    <w:p>
      <w:pPr>
        <w:pStyle w:val="FirstParagraph"/>
      </w:pPr>
      <w:r>
        <w:t xml:space="preserve">国务院办公厅日前印发《全国深化“放管服”改革优化营商环境电视电话会议重点任务分工方案》（以下简称《方案》）。《方案》提出，2019年9月底前修订形成新版市场准入负面清单，缩减清单事项，以服务业为重点试点进一步放宽市场准入限制。推行“全国一张清单”管理模式。《方案》还要求，抓紧研究制定《优化营商环境条例》，2019年8月底前完成向各有关方面征求意见和法规审查工作、形成草案，9月底前公布实施。</w:t>
      </w:r>
    </w:p>
    <w:p>
      <w:pPr>
        <w:pStyle w:val="TextBody"/>
      </w:pPr>
      <w:r>
        <w:t xml:space="preserve">《方案》明确，进一步放宽市场准入，缩减市场准入负面清单事项，清单之外不得另设门槛和隐性限制。2019年修订《公平竞争审查制度实施细则（暂行）》，修改、废止一批不利于公平竞争的政策措施。2019年9月底前部署开展招投标领域专项整治，全面清理各级政府及有关部门规章、行政规范性文件和其他政策措施中对民营、外资企业投标设置不合理限制和壁垒的规定。《方案》还提出，继续压减中央和地方层面设定的行政许可事项。2019年内中央层面再取消下放一批行政许可事项，并进一步压减企业开办时间，治理各种不合理收费，确保减税降费的目标落实到位。</w:t>
      </w:r>
    </w:p>
    <w:p>
      <w:pPr>
        <w:pStyle w:val="TextBody"/>
      </w:pPr>
      <w:hyperlink r:id="rId48">
        <w:r>
          <w:rPr>
            <w:rStyle w:val="Hyperlink"/>
          </w:rPr>
          <w:t xml:space="preserve">http://news.cnstock.com/news,yw-201908-4415303.htm</w:t>
        </w:r>
      </w:hyperlink>
    </w:p>
    <w:p>
      <w:pPr>
        <w:pStyle w:val="Heading3"/>
      </w:pPr>
      <w:bookmarkStart w:id="49" w:name="土地市场转冷7月多城市量价齐跌"/>
      <w:r>
        <w:t xml:space="preserve">土地市场转冷，7月多城市量价齐跌</w:t>
      </w:r>
      <w:bookmarkEnd w:id="49"/>
    </w:p>
    <w:p>
      <w:pPr>
        <w:pStyle w:val="FirstParagraph"/>
      </w:pPr>
      <w:r>
        <w:t xml:space="preserve">受房地产市场成交周期影响，2019年7月以来土地市场开始降温。进入8月，这一态势在各线城市延续。中国指数研究院公布的数据显示，上周土地市场供求环比全线走低，住宅用地成交量下降逾四成。</w:t>
      </w:r>
    </w:p>
    <w:p>
      <w:pPr>
        <w:pStyle w:val="TextBody"/>
      </w:pPr>
      <w:r>
        <w:t xml:space="preserve">从7月土地市场的形势来看，市场成交整体量价齐跌、溢价率连续走低。克而瑞地产研究中心统计数据显示，当月，全国受监测的300城市经营性土地成交建筑面积17892万平方米，同环比跌幅都在10%以内；平均楼板价2702元/平方米，环比下跌11%；平均溢价率降至12.9%，同环比分别下降4.7个百分点和6个百分点。</w:t>
      </w:r>
    </w:p>
    <w:p>
      <w:pPr>
        <w:pStyle w:val="TextBody"/>
      </w:pPr>
      <w:r>
        <w:t xml:space="preserve">分城市来看，一线城市7月土地市场平均楼板价跌至11789元/平方米，同环比分别下降48%和40%。广州月内共计出让13宗地，七宗商办地块均底价成交；上海仅位于闵行的商办用地溢价率达26%，其余地块大多底价出让；北京丰台区的商住用地以79.4亿元的总价成交，溢价率达19%。</w:t>
      </w:r>
    </w:p>
    <w:p>
      <w:pPr>
        <w:pStyle w:val="TextBody"/>
      </w:pPr>
      <w:hyperlink r:id="rId50">
        <w:r>
          <w:rPr>
            <w:rStyle w:val="Hyperlink"/>
          </w:rPr>
          <w:t xml:space="preserve">http://news.cnstock.com/news,yw-201908-4415296.htm</w:t>
        </w:r>
      </w:hyperlink>
    </w:p>
    <w:p>
      <w:pPr>
        <w:pStyle w:val="Heading3"/>
      </w:pPr>
      <w:bookmarkStart w:id="51" w:name="监管紧盯支付机构账户管理漏洞"/>
      <w:r>
        <w:t xml:space="preserve">监管“紧盯”支付机构账户管理漏洞</w:t>
      </w:r>
      <w:bookmarkEnd w:id="51"/>
    </w:p>
    <w:p>
      <w:pPr>
        <w:pStyle w:val="FirstParagraph"/>
      </w:pPr>
      <w:r>
        <w:t xml:space="preserve">近日人民银行某分支机构向支付机构下发风险提示函，要求支付机构强化商户的真实性、合法性核验，加强交易监测，完善事中调查机制。针对支付渠道被电信诈骗、赌博等网络犯罪活动利用等管理漏洞，强监管正进一步加。</w:t>
      </w:r>
    </w:p>
    <w:p>
      <w:pPr>
        <w:pStyle w:val="TextBody"/>
      </w:pPr>
      <w:r>
        <w:t xml:space="preserve">央行有关负责人此前表示，大量电信网络新型违法犯罪案件反映出，当前不法分子转移诈骗资金使用的账户，出现从银行账户向支付账户特别是单位支付账户转移的趋势。部分非银行支付机构存在单位支付账户实名审核不到位、使用不规范等问题，易被不法分子利用。未来其他人民银行分支机构可能也会结合当地实际，发布相关风险提示。公安部、中央网信办、工信部等部门将联合加强各环节的监测和溯源，强化银行和第三方支付平台账户线上查询、止付、冻结功能，斩断电信网络诈骗等犯罪的源头。</w:t>
      </w:r>
    </w:p>
    <w:p>
      <w:pPr>
        <w:pStyle w:val="TextBody"/>
      </w:pPr>
      <w:hyperlink r:id="rId52">
        <w:r>
          <w:rPr>
            <w:rStyle w:val="Hyperlink"/>
          </w:rPr>
          <w:t xml:space="preserve">http://news.cnstock.com/news,yw-201908-4416412.htm</w:t>
        </w:r>
      </w:hyperlink>
    </w:p>
    <w:p>
      <w:pPr>
        <w:pStyle w:val="Heading3"/>
      </w:pPr>
      <w:bookmarkStart w:id="53" w:name="互联网医院正在崛起上市药企收购医院或成烫手山芋"/>
      <w:r>
        <w:t xml:space="preserve">互联网医院正在崛起，上市药企收购医院或成“烫手山芋”</w:t>
      </w:r>
      <w:bookmarkEnd w:id="53"/>
    </w:p>
    <w:p>
      <w:pPr>
        <w:pStyle w:val="FirstParagraph"/>
      </w:pPr>
      <w:r>
        <w:t xml:space="preserve">2019年8月13日，上海市卫健委发布《上海市互联网医院管理办法》，将于同年9月1日起施行。</w:t>
      </w:r>
    </w:p>
    <w:p>
      <w:pPr>
        <w:pStyle w:val="TextBody"/>
      </w:pPr>
      <w:r>
        <w:t xml:space="preserve">文件明确将“互联网医院”定义为“包括作为实体医疗机构第二名称的互联网医院，以及依托实体医疗机构独立设置的互联网医院”。该文件还规定，互联网医院开展的诊疗服务应符合实体医疗机构或依托实体医疗机构的功能定位，并在《医疗机构执业许可证》登记的执业范围内，主要包括：常见病和慢性病患者随访和复诊、家庭医生签约服务。同时，文件还明确了准入标准、监督管理等，明确卫生健康行政部门通过管理平台对互联网医院实施监管，重点监管互联网医院的人员、处方、诊疗行为、患者隐私保护和信息安全等内容。</w:t>
      </w:r>
    </w:p>
    <w:p>
      <w:pPr>
        <w:pStyle w:val="TextBody"/>
      </w:pPr>
      <w:hyperlink r:id="rId54">
        <w:r>
          <w:rPr>
            <w:rStyle w:val="Hyperlink"/>
          </w:rPr>
          <w:t xml:space="preserve">http://www.ifnews.com/17/detail-42797.html</w:t>
        </w:r>
      </w:hyperlink>
    </w:p>
    <w:p>
      <w:pPr>
        <w:pStyle w:val="Heading2"/>
      </w:pPr>
      <w:bookmarkStart w:id="55" w:name="并购"/>
      <w:r>
        <w:t xml:space="preserve">并购</w:t>
      </w:r>
      <w:bookmarkEnd w:id="55"/>
    </w:p>
    <w:p>
      <w:pPr>
        <w:pStyle w:val="Heading3"/>
      </w:pPr>
      <w:bookmarkStart w:id="56" w:name="天茂集团拟对国华人寿实施吸收合并"/>
      <w:r>
        <w:t xml:space="preserve">天茂集团拟对国华人寿实施吸收合并</w:t>
      </w:r>
      <w:bookmarkEnd w:id="56"/>
    </w:p>
    <w:p>
      <w:pPr>
        <w:pStyle w:val="FirstParagraph"/>
      </w:pPr>
      <w:r>
        <w:t xml:space="preserve">上市公司天茂集团2019年8月12日晚间发布的公告称，拟对国华人寿实施吸收合并。</w:t>
      </w:r>
    </w:p>
    <w:p>
      <w:pPr>
        <w:pStyle w:val="TextBody"/>
      </w:pPr>
      <w:r>
        <w:t xml:space="preserve">天茂集团或将更名为“国华人寿”，成为A股第六家保险上市公司。同时也是近20年里成立的保险公司中最先实现上市的。</w:t>
      </w:r>
    </w:p>
    <w:p>
      <w:pPr>
        <w:pStyle w:val="TextBody"/>
      </w:pPr>
      <w:r>
        <w:t xml:space="preserve">根据公告，天茂集团拟通过向国华人寿其他股东发行股份购买资产或发行股份购买资产结合其他多种支付方式，对国华人寿实施吸收合并。交易一旦达成，天茂集团将100%持有国华人寿。具体交易方案将进一步协商确定。</w:t>
      </w:r>
    </w:p>
    <w:p>
      <w:pPr>
        <w:pStyle w:val="TextBody"/>
      </w:pPr>
      <w:r>
        <w:t xml:space="preserve">被吸收合并的国华人寿业绩不俗，自2014年进入盈利期后，每年净利润均超10亿元。2018年净利润达20.55亿元，2019年第一季度净利润达6.11亿元。</w:t>
      </w:r>
    </w:p>
    <w:p>
      <w:pPr>
        <w:pStyle w:val="TextBody"/>
      </w:pPr>
      <w:r>
        <w:t xml:space="preserve">鉴于该事项尚存在不确定性，为保证公平信息披露，维护投资者利益，避免对公司股价造成重大影响，天茂集团自8月13日起停牌，预计停牌时间不超过10个交易日。投行人士分析认为，这意味着天茂集团可能会在10个交易日内，公布吸收合并国华人寿的相关预案。</w:t>
      </w:r>
    </w:p>
    <w:p>
      <w:pPr>
        <w:pStyle w:val="TextBody"/>
      </w:pPr>
      <w:hyperlink r:id="rId57">
        <w:r>
          <w:rPr>
            <w:rStyle w:val="Hyperlink"/>
          </w:rPr>
          <w:t xml:space="preserve">http://news.cnstock.com/news,jg-201908-4415766.htm</w:t>
        </w:r>
      </w:hyperlink>
    </w:p>
    <w:p>
      <w:pPr>
        <w:pStyle w:val="Heading3"/>
      </w:pPr>
      <w:bookmarkStart w:id="58" w:name="kkr拟46亿元收购雷士中国70股权"/>
      <w:r>
        <w:t xml:space="preserve">KKR拟46亿元收购雷士中国70%股权</w:t>
      </w:r>
      <w:bookmarkEnd w:id="58"/>
    </w:p>
    <w:p>
      <w:pPr>
        <w:pStyle w:val="FirstParagraph"/>
      </w:pPr>
      <w:r>
        <w:t xml:space="preserve">近日，雷士照明发布公告称，拟向PE巨头KKR出售其中国区照明业务（下称“雷士中国”）70%股权，交易对价约为人民币46.11亿元。KKR收购雷士中国后，将寻求在A股上市，预期IRR（内部收益率）不低于18%，否则寻求其他退出方式。</w:t>
      </w:r>
    </w:p>
    <w:p>
      <w:pPr>
        <w:pStyle w:val="TextBody"/>
      </w:pPr>
      <w:r>
        <w:t xml:space="preserve">关于交易细节，KKR和雷士照明将成立合资公司，该合资公司将作为收购雷士中国的主体。其中，KKR持有合资公司70%的股份，雷士照明持有剩余的30%股权。此次交易预计在2019年第四季度交割，雷士照明将获得约46.11亿元的现金对价。在人事安排上，根据二者交易协议，合资公司成立后，KKR将派驻三位董事，雷士照明将派驻两位董事。</w:t>
      </w:r>
    </w:p>
    <w:p>
      <w:pPr>
        <w:pStyle w:val="TextBody"/>
      </w:pPr>
      <w:r>
        <w:t xml:space="preserve">另外，在获得批准且交割完成的前提下，雷士照明董事会将宣布，向雷士照明的股东派发不低于每股0.9港元的特别股息，而这已经超过交易前的股价（0.7港元）。</w:t>
      </w:r>
    </w:p>
    <w:p>
      <w:pPr>
        <w:pStyle w:val="TextBody"/>
      </w:pPr>
      <w:hyperlink r:id="rId59">
        <w:r>
          <w:rPr>
            <w:rStyle w:val="Hyperlink"/>
          </w:rPr>
          <w:t xml:space="preserve">http://www.ifnews.com/17/detail-42788.html</w:t>
        </w:r>
      </w:hyperlink>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如你不希望再收到易周法讯，请发送电邮至  </w:t>
      </w:r>
      <w:hyperlink r:id="rId10">
        <w:r>
          <w:rPr/>
          <w:t>unsubscribe@charltonslaw.com</w:t>
        </w:r>
      </w:hyperlink>
    </w:p>
    <w:p>
      <w:pPr>
        <w:pStyle w:val="BlackStrips"/>
      </w:pPr>
      <w:r>
        <w:t>Charltons - 法讯 - 中国 - 2019年8月16日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dbfe050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46" Type="http://schemas.openxmlformats.org/officeDocument/2006/relationships/hyperlink" Target="http://company.cnstock.com/company/scp_gsxw/201908/4415784.htm" TargetMode="External"/><Relationship Id="rId33" Type="http://schemas.openxmlformats.org/officeDocument/2006/relationships/hyperlink" Target="http://money.people.com.cn/n1/2019/0812/c42877-31289279.html" TargetMode="External"/><Relationship Id="rId39" Type="http://schemas.openxmlformats.org/officeDocument/2006/relationships/hyperlink" Target="http://news.cnstock.com/news,bwkx-201908-4415948.htm" TargetMode="External"/><Relationship Id="rId36" Type="http://schemas.openxmlformats.org/officeDocument/2006/relationships/hyperlink" Target="http://news.cnstock.com/news,bwkx-201908-4416022.htm" TargetMode="External"/><Relationship Id="rId57" Type="http://schemas.openxmlformats.org/officeDocument/2006/relationships/hyperlink" Target="http://news.cnstock.com/news,jg-201908-4415766.htm" TargetMode="External"/><Relationship Id="rId50" Type="http://schemas.openxmlformats.org/officeDocument/2006/relationships/hyperlink" Target="http://news.cnstock.com/news,yw-201908-4415296.htm" TargetMode="External"/><Relationship Id="rId48" Type="http://schemas.openxmlformats.org/officeDocument/2006/relationships/hyperlink" Target="http://news.cnstock.com/news,yw-201908-4415303.htm" TargetMode="External"/><Relationship Id="rId26" Type="http://schemas.openxmlformats.org/officeDocument/2006/relationships/hyperlink" Target="http://news.cnstock.com/news,yw-201908-4415760.htm" TargetMode="External"/><Relationship Id="rId44" Type="http://schemas.openxmlformats.org/officeDocument/2006/relationships/hyperlink" Target="http://news.cnstock.com/news,yw-201908-4415777.htm" TargetMode="External"/><Relationship Id="rId52" Type="http://schemas.openxmlformats.org/officeDocument/2006/relationships/hyperlink" Target="http://news.cnstock.com/news,yw-201908-4416412.htm" TargetMode="External"/><Relationship Id="rId59" Type="http://schemas.openxmlformats.org/officeDocument/2006/relationships/hyperlink" Target="http://www.ifnews.com/17/detail-42788.html" TargetMode="External"/><Relationship Id="rId54" Type="http://schemas.openxmlformats.org/officeDocument/2006/relationships/hyperlink" Target="http://www.ifnews.com/17/detail-42797.html" TargetMode="External"/><Relationship Id="rId30" Type="http://schemas.openxmlformats.org/officeDocument/2006/relationships/hyperlink" Target="http://www.ifnews.com/17/detail-42815.html" TargetMode="External"/><Relationship Id="rId41" Type="http://schemas.openxmlformats.org/officeDocument/2006/relationships/hyperlink" Target="http://www.ifnews.com/17/detail-42834.html" TargetMode="External"/><Relationship Id="rId24" Type="http://schemas.openxmlformats.org/officeDocument/2006/relationships/hyperlink" Target="http://xw.sinoins.com/2019-08/09/content_300927.htm" TargetMode="External"/><Relationship Id="rId28" Type="http://schemas.openxmlformats.org/officeDocument/2006/relationships/hyperlink" Target="https://finance.sina.com.cn/money/bank/bank_hydt/2019-08-13/doc-ihytcern0597870.shtml" TargetMode="External"/><Relationship Id="rId9" Type="http://schemas.openxmlformats.org/officeDocument/2006/relationships/hyperlink" Target="http://www.charltonslaw.com.cn/yang-hang-fa-bu-di-er-ji-du-zhong-guo-huo-bi-zheng-ce-zhi-xing-bao-gao"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46" Type="http://schemas.openxmlformats.org/officeDocument/2006/relationships/hyperlink" Target="http://company.cnstock.com/company/scp_gsxw/201908/4415784.htm" TargetMode="External"/><Relationship Id="rId33" Type="http://schemas.openxmlformats.org/officeDocument/2006/relationships/hyperlink" Target="http://money.people.com.cn/n1/2019/0812/c42877-31289279.html" TargetMode="External"/><Relationship Id="rId39" Type="http://schemas.openxmlformats.org/officeDocument/2006/relationships/hyperlink" Target="http://news.cnstock.com/news,bwkx-201908-4415948.htm" TargetMode="External"/><Relationship Id="rId36" Type="http://schemas.openxmlformats.org/officeDocument/2006/relationships/hyperlink" Target="http://news.cnstock.com/news,bwkx-201908-4416022.htm" TargetMode="External"/><Relationship Id="rId57" Type="http://schemas.openxmlformats.org/officeDocument/2006/relationships/hyperlink" Target="http://news.cnstock.com/news,jg-201908-4415766.htm" TargetMode="External"/><Relationship Id="rId50" Type="http://schemas.openxmlformats.org/officeDocument/2006/relationships/hyperlink" Target="http://news.cnstock.com/news,yw-201908-4415296.htm" TargetMode="External"/><Relationship Id="rId48" Type="http://schemas.openxmlformats.org/officeDocument/2006/relationships/hyperlink" Target="http://news.cnstock.com/news,yw-201908-4415303.htm" TargetMode="External"/><Relationship Id="rId26" Type="http://schemas.openxmlformats.org/officeDocument/2006/relationships/hyperlink" Target="http://news.cnstock.com/news,yw-201908-4415760.htm" TargetMode="External"/><Relationship Id="rId44" Type="http://schemas.openxmlformats.org/officeDocument/2006/relationships/hyperlink" Target="http://news.cnstock.com/news,yw-201908-4415777.htm" TargetMode="External"/><Relationship Id="rId52" Type="http://schemas.openxmlformats.org/officeDocument/2006/relationships/hyperlink" Target="http://news.cnstock.com/news,yw-201908-4416412.htm" TargetMode="External"/><Relationship Id="rId59" Type="http://schemas.openxmlformats.org/officeDocument/2006/relationships/hyperlink" Target="http://www.ifnews.com/17/detail-42788.html" TargetMode="External"/><Relationship Id="rId54" Type="http://schemas.openxmlformats.org/officeDocument/2006/relationships/hyperlink" Target="http://www.ifnews.com/17/detail-42797.html" TargetMode="External"/><Relationship Id="rId30" Type="http://schemas.openxmlformats.org/officeDocument/2006/relationships/hyperlink" Target="http://www.ifnews.com/17/detail-42815.html" TargetMode="External"/><Relationship Id="rId41" Type="http://schemas.openxmlformats.org/officeDocument/2006/relationships/hyperlink" Target="http://www.ifnews.com/17/detail-42834.html" TargetMode="External"/><Relationship Id="rId24" Type="http://schemas.openxmlformats.org/officeDocument/2006/relationships/hyperlink" Target="http://xw.sinoins.com/2019-08/09/content_300927.htm" TargetMode="External"/><Relationship Id="rId28" Type="http://schemas.openxmlformats.org/officeDocument/2006/relationships/hyperlink" Target="https://finance.sina.com.cn/money/bank/bank_hydt/2019-08-13/doc-ihytcern0597870.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2019-08-15T09:24:27Z</dcterms:created>
  <dcterms:modified xsi:type="dcterms:W3CDTF">2019-08-15T09:24:27Z</dcterms:modified>
</cp:coreProperties>
</file>