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- 2019年8月23日</w:t>
      </w:r>
    </w:p>
    <w:p>
      <w:pPr>
        <w:pStyle w:val="ReadOnline"/>
      </w:pPr>
      <w:hyperlink r:id="rId9">
        <w:r>
          <w:rPr/>
          <w:t>online version</w:t>
        </w:r>
      </w:hyperlink>
    </w:p>
    <w:p>
      <w:pPr>
        <w:pStyle w:val="Title"/>
      </w:pPr>
      <w:r>
        <w:t>《中共中央国务院关于支持深圳建设中国特色社会主义先行示范区的意见》发布</w:t>
      </w:r>
    </w:p>
    <w:p>
      <w:pPr>
        <w:pStyle w:val="Heading2"/>
      </w:pPr>
      <w:bookmarkStart w:id="21" w:name="简介"/>
      <w:r>
        <w:t xml:space="preserve">简介</w:t>
      </w:r>
      <w:bookmarkEnd w:id="21"/>
    </w:p>
    <w:p>
      <w:pPr>
        <w:pStyle w:val="FirstParagraph"/>
      </w:pPr>
      <w:r>
        <w:t xml:space="preserve">《中共中央国务院关于支持深圳建设中国特色社会主义先行示范区的意见》发布；LPR新机制促利率市场化改革；私募基金领域对外开放迎来四项新举措；新版医保目录出台；《全国社会保障基金理事会基本养老保险基金受托运营年度报告（2018年度）》公布</w:t>
      </w:r>
    </w:p>
    <w:p>
      <w:pPr>
        <w:pStyle w:val="Heading2"/>
      </w:pPr>
      <w:bookmarkStart w:id="22" w:name="资本市场"/>
      <w:r>
        <w:t xml:space="preserve">资本市场</w:t>
      </w:r>
      <w:bookmarkEnd w:id="22"/>
    </w:p>
    <w:p>
      <w:pPr>
        <w:pStyle w:val="Heading3"/>
      </w:pPr>
      <w:bookmarkStart w:id="23" w:name="中共中央国务院关于支持深圳建设中国特色社会主义先行示范区的意见发布"/>
      <w:r>
        <w:t xml:space="preserve">《中共中央国务院关于支持深圳建设中国特色社会主义先行示范区的意见》发布</w:t>
      </w:r>
      <w:bookmarkEnd w:id="23"/>
    </w:p>
    <w:p>
      <w:pPr>
        <w:pStyle w:val="FirstParagraph"/>
      </w:pPr>
      <w:r>
        <w:t xml:space="preserve">2019年8月18日，《中共中央国务院关于支持深圳建设中国特色社会主义先行示范区的意见》发布。</w:t>
      </w:r>
    </w:p>
    <w:p>
      <w:pPr>
        <w:pStyle w:val="TextBody"/>
      </w:pPr>
      <w:r>
        <w:t xml:space="preserve">《意见》提出了将深圳建设成为高质量发展高地、法治城市示范、城市文明典范、民生幸福标杆、可持续发展先锋的战略定位。为此《意见》提出要加快构建现代产业体系。大力发展战略性新兴产业，在未来通信高端器件、高性能医疗器械等领域创建制造业创新中心。开展市场准入和监管体制机制改革试点，建立更具弹性的审慎包容监管制度，积极发展智能经济、健康产业等新产业新业态，打造数字经济创新发展试验区。提高金融服务实体经济能力，研究完善创业板发行上市、再融资和并购重组制度，创造条件推动注册制改革。支持在深圳开展数字货币研究与移动支付等创新应用。促进与港澳金融市场互联互通和金融（基金）产品互认。在推进人民币国际化上先行先试，探索创新跨境金融监管。</w:t>
      </w:r>
    </w:p>
    <w:p>
      <w:pPr>
        <w:pStyle w:val="TextBody"/>
      </w:pPr>
      <w:hyperlink r:id="rId24">
        <w:r>
          <w:rPr>
            <w:rStyle w:val="Hyperlink"/>
          </w:rPr>
          <w:t xml:space="preserve">http://www.ifnews.com/17/detail-42921.html</w:t>
        </w:r>
      </w:hyperlink>
    </w:p>
    <w:p>
      <w:pPr>
        <w:pStyle w:val="Heading3"/>
      </w:pPr>
      <w:bookmarkStart w:id="25" w:name="lpr新机制促利率市场化改革"/>
      <w:r>
        <w:t xml:space="preserve">LPR新机制促利率市场化改革</w:t>
      </w:r>
      <w:bookmarkEnd w:id="25"/>
    </w:p>
    <w:p>
      <w:pPr>
        <w:pStyle w:val="FirstParagraph"/>
      </w:pPr>
      <w:r>
        <w:t xml:space="preserve">央行2019年8月17日上午发布公告，决定完善贷款市场报价利率（LPR）形成机制，并披露了具体做法。利率市场化改革是金融领域最核心的改革之一。</w:t>
      </w:r>
    </w:p>
    <w:p>
      <w:pPr>
        <w:pStyle w:val="TextBody"/>
      </w:pPr>
      <w:r>
        <w:t xml:space="preserve">新的LPR由各报价行于每月20日（遇节假日顺延）9时前，以0.05个百分点为步长，向全国银行间同业拆借中心提交报价，全国银行间同业拆借中心按去掉最高和最低报价后算术平均，向0.05%的整数倍就近取整计算得出LPR，于当日9时30分公布。</w:t>
      </w:r>
    </w:p>
    <w:p>
      <w:pPr>
        <w:pStyle w:val="TextBody"/>
      </w:pPr>
      <w:r>
        <w:t xml:space="preserve">与原有的LPR形成机制相比，新的LPR主要有以下几点变化：一是报价方式改为按照公开市场操作利率加点形成，公开市场操作利率主要指中期借贷便利（MLF）利率，加点幅度主要取决于各行自身资金成本、市场供求、风险溢价等因素；二是在原有的1年期一个期限品种基础上，增加5年期以上的期限品种，为银行发放住房抵押贷款等长期贷款的利率定价提供参考，也便于未来存量长期浮动利率贷款合同定价基准向LPR转换的平稳过渡；三是报价行范围代表性增强，在原有的10家全国性银行基础上增加城市商业银行、农村商业银行、外资银行和民营银行各2家，扩大到18家；四是报价频率由原来的每日报价改为每月报价一次。</w:t>
      </w:r>
    </w:p>
    <w:p>
      <w:pPr>
        <w:pStyle w:val="TextBody"/>
      </w:pPr>
      <w:r>
        <w:t xml:space="preserve">与此同时，央行将指导市场利率定价自律机制加强对LPR的监督管理，对报价行的报价质量进行考核，督促各银行运用LPR定价，严肃处理银行协同设定贷款利率隐性下限等扰乱市场秩序的违规行为。央行还将银行的LPR应用情况及贷款利率竞争行为纳入宏观审慎评估（MPA）。</w:t>
      </w:r>
    </w:p>
    <w:p>
      <w:pPr>
        <w:pStyle w:val="TextBody"/>
      </w:pPr>
      <w:hyperlink r:id="rId26">
        <w:r>
          <w:rPr>
            <w:rStyle w:val="Hyperlink"/>
          </w:rPr>
          <w:t xml:space="preserve">http://news.cnstock.com/news,yw-201908-4418264.htm</w:t>
        </w:r>
      </w:hyperlink>
    </w:p>
    <w:p>
      <w:pPr>
        <w:pStyle w:val="Heading3"/>
      </w:pPr>
      <w:bookmarkStart w:id="27" w:name="私募基金领域对外开放迎来四项新举措"/>
      <w:r>
        <w:t xml:space="preserve">私募基金领域对外开放迎来四项新举措</w:t>
      </w:r>
      <w:bookmarkEnd w:id="27"/>
    </w:p>
    <w:p>
      <w:pPr>
        <w:pStyle w:val="FirstParagraph"/>
      </w:pPr>
      <w:r>
        <w:t xml:space="preserve">中国基金业协会近日宣布，为积极稳妥推进私募基金领域的对外开放，推出四项新举措，涉及外资私募登记备案等诸多方面。</w:t>
      </w:r>
    </w:p>
    <w:p>
      <w:pPr>
        <w:pStyle w:val="TextBody"/>
      </w:pPr>
      <w:r>
        <w:t xml:space="preserve">一是明确外资私募实际控制人可以是受境外金融监管部门监管的境外机构；二是明确外资私募基金投资参与银行间债券市场的标准；三是为外资私募的外籍高管和投资经理开设英文从业资格考试；四是放开外资私募产品参与“港股通”交易的限制。</w:t>
      </w:r>
    </w:p>
    <w:p>
      <w:pPr>
        <w:pStyle w:val="TextBody"/>
      </w:pPr>
      <w:hyperlink r:id="rId28">
        <w:r>
          <w:rPr>
            <w:rStyle w:val="Hyperlink"/>
          </w:rPr>
          <w:t xml:space="preserve">http://www.xinhuanet.com/money/2019-08/15/c_1124877769.htm</w:t>
        </w:r>
      </w:hyperlink>
    </w:p>
    <w:p>
      <w:pPr>
        <w:pStyle w:val="Heading2"/>
      </w:pPr>
      <w:bookmarkStart w:id="29" w:name="保险"/>
      <w:r>
        <w:t xml:space="preserve">保险</w:t>
      </w:r>
      <w:bookmarkEnd w:id="29"/>
    </w:p>
    <w:p>
      <w:pPr>
        <w:pStyle w:val="Heading3"/>
      </w:pPr>
      <w:bookmarkStart w:id="30" w:name="新版医保目录出台"/>
      <w:r>
        <w:t xml:space="preserve">新版医保目录出台</w:t>
      </w:r>
      <w:bookmarkEnd w:id="30"/>
    </w:p>
    <w:p>
      <w:pPr>
        <w:pStyle w:val="FirstParagraph"/>
      </w:pPr>
      <w:r>
        <w:t xml:space="preserve">2019年8月20日，国家医疗保障局、人力资源社会保障部印发《国家基本医疗保险、工伤保险和生育保险药品目录》的通知（医保发〔2019〕46号），这意味着新版医保目录出台。</w:t>
      </w:r>
    </w:p>
    <w:p>
      <w:pPr>
        <w:pStyle w:val="TextBody"/>
      </w:pPr>
      <w:r>
        <w:t xml:space="preserve">从常规准入的品种看，调整前后药品数量变化不大，但通过动态调整、有进有出，药品结构发生了较大变化。本次发布的常规准入部分共2643个药品，包括西药1322个、中成药1321个（含民族药93个）；中药饮片采用准入法管理，共纳入892个。从调出的品种看，共调出150个品种，其中约一半是被国家药监部门撤销文号的药品，其余主要是临床价值不高、滥用明显、有更好替代的药品。</w:t>
      </w:r>
    </w:p>
    <w:p>
      <w:pPr>
        <w:pStyle w:val="TextBody"/>
      </w:pPr>
      <w:r>
        <w:t xml:space="preserve">此目录将于2020年1月1日起正式实施，《人力资源社会保障部关于印发国家基本医疗保险、工伤保险和生育保险药品目录（2017年版）的通知》（人社部发〔2017〕15号）同时废止。</w:t>
      </w:r>
    </w:p>
    <w:p>
      <w:pPr>
        <w:pStyle w:val="TextBody"/>
      </w:pPr>
      <w:hyperlink r:id="rId31">
        <w:r>
          <w:rPr>
            <w:rStyle w:val="Hyperlink"/>
          </w:rPr>
          <w:t xml:space="preserve">http://www.ifnews.com/17/detail-42987.html</w:t>
        </w:r>
      </w:hyperlink>
    </w:p>
    <w:p>
      <w:pPr>
        <w:pStyle w:val="Heading3"/>
      </w:pPr>
      <w:bookmarkStart w:id="32" w:name="深圳复制推广自贸区经验五项保险创新推出"/>
      <w:r>
        <w:t xml:space="preserve">深圳复制推广自贸区经验，五项保险创新推出</w:t>
      </w:r>
      <w:bookmarkEnd w:id="32"/>
    </w:p>
    <w:p>
      <w:pPr>
        <w:pStyle w:val="FirstParagraph"/>
      </w:pPr>
      <w:r>
        <w:t xml:space="preserve">2019年8月19日，深圳市人民政府发布《关于复制推广中国（广东）自由贸易试验区深圳前海蛇口片区第四批改革创新经验的通知》（下称“《通知》”）。《通知》列出了投资便利化、贸易便利化、金融创新、事中事后监管、法治创新、体制机制创新等六大领域的共43项改革创新经验。</w:t>
      </w:r>
    </w:p>
    <w:p>
      <w:pPr>
        <w:pStyle w:val="TextBody"/>
      </w:pPr>
      <w:r>
        <w:t xml:space="preserve">在金融创新领域的16项改革创新经验中，有五项涉及到保险行业。分别为：保险资金支持长租公寓项目、推出“定期寿险+转化年金”组合保险模式、互联网保险大数据风控平台、依托互助保险场景优势缓解小微货代企业融资困境和“信托+保险”消费模式创新。</w:t>
      </w:r>
    </w:p>
    <w:p>
      <w:pPr>
        <w:pStyle w:val="TextBody"/>
      </w:pPr>
      <w:hyperlink r:id="rId33">
        <w:r>
          <w:rPr>
            <w:rStyle w:val="Hyperlink"/>
          </w:rPr>
          <w:t xml:space="preserve">http://www.ifnews.com/17/detail-42990.html</w:t>
        </w:r>
      </w:hyperlink>
    </w:p>
    <w:p>
      <w:pPr>
        <w:pStyle w:val="Heading3"/>
      </w:pPr>
      <w:bookmarkStart w:id="34" w:name="全国社会保障基金理事会基本养老保险基金受托运营年度报告2018年度公布"/>
      <w:r>
        <w:t xml:space="preserve">《全国社会保障基金理事会基本养老保险基金受托运营年度报告（2018年度）》公布</w:t>
      </w:r>
      <w:bookmarkEnd w:id="34"/>
    </w:p>
    <w:p>
      <w:pPr>
        <w:pStyle w:val="FirstParagraph"/>
      </w:pPr>
      <w:r>
        <w:t xml:space="preserve">据全国社会保障基金理事会（下称社保基金会）网站披露，最新公布的《全国社会保障基金理事会基本养老保险基金受托运营年度报告（2018年度）》显示，2018年末，基本养老保险基金资产总额7032.82亿元。其中直接投资资产2456.13亿元，占基本养老保险基金资产总额的34.92%；委托投资资产4576.69亿元，占基本养老保险基金资产总额的65.08%。</w:t>
      </w:r>
    </w:p>
    <w:p>
      <w:pPr>
        <w:pStyle w:val="TextBody"/>
      </w:pPr>
      <w:r>
        <w:t xml:space="preserve">2018年末，基本养老保险基金权益总额6239.41亿元。基本养老保险基金权益投资收益额98.64亿元，投资收益率2.56%。其中，已实现收益额145.27亿元（已实现收益率3.81%），交易类资产公允价值变动额-46.63亿元。基本养老保险基金自2016年12月受托运营以来，累计投资收益额186.83亿元。</w:t>
      </w:r>
    </w:p>
    <w:p>
      <w:pPr>
        <w:pStyle w:val="TextBody"/>
      </w:pPr>
      <w:r>
        <w:t xml:space="preserve">2018年，社保基金会扩大了基金受托管理规模。截至2018年末，社保基金会已先后与17个省（区、市）签署委托投资合同，合同总金额8580亿元，均为委托期5年的承诺保底模式，实际到账资金6050亿元。</w:t>
      </w:r>
    </w:p>
    <w:p>
      <w:pPr>
        <w:pStyle w:val="TextBody"/>
      </w:pPr>
      <w:hyperlink r:id="rId35">
        <w:r>
          <w:rPr>
            <w:rStyle w:val="Hyperlink"/>
          </w:rPr>
          <w:t xml:space="preserve">https://finance.sina.com.cn/china/2019-08-21/doc-ihytcitn0681172.shtml</w:t>
        </w:r>
      </w:hyperlink>
    </w:p>
    <w:p>
      <w:pPr>
        <w:pStyle w:val="Heading2"/>
      </w:pPr>
      <w:bookmarkStart w:id="36" w:name="知产"/>
      <w:r>
        <w:t xml:space="preserve">知产</w:t>
      </w:r>
      <w:bookmarkEnd w:id="36"/>
    </w:p>
    <w:p>
      <w:pPr>
        <w:pStyle w:val="Heading3"/>
      </w:pPr>
      <w:bookmarkStart w:id="37" w:name="北京市经信局正制定北京市机器人产业创新发展行动方案"/>
      <w:r>
        <w:t xml:space="preserve">北京市经信局正制定《北京市机器人产业创新发展行动方案》</w:t>
      </w:r>
      <w:bookmarkEnd w:id="37"/>
    </w:p>
    <w:p>
      <w:pPr>
        <w:pStyle w:val="FirstParagraph"/>
      </w:pPr>
      <w:r>
        <w:t xml:space="preserve">当前北京市经信局正制定《北京市机器人产业创新发展行动方案》，将构建医疗健康机器人、特种机器人、协作机器人、仓储物流机器人和关键零部件“4+1”产业发展格局，激活工业、民生、公共安全三大应用市场，打造具有全球影响力的机器人产业创新和应用示范高地。</w:t>
      </w:r>
    </w:p>
    <w:p>
      <w:pPr>
        <w:pStyle w:val="TextBody"/>
      </w:pPr>
      <w:r>
        <w:t xml:space="preserve">近年来，北京市相继出台《北京市加快科技创新发展智能装备产业的指导意见》、《北京机器人产业创新发展路线图》等政策，为机器人产业发展营造了良好氛围，机器人产业发展成效显著。2018年，全市机器人企业数量400余家，其中生产制造业企业50余家，全产业收入达到100亿元左右。</w:t>
      </w:r>
    </w:p>
    <w:p>
      <w:pPr>
        <w:pStyle w:val="TextBody"/>
      </w:pPr>
      <w:hyperlink r:id="rId38">
        <w:r>
          <w:rPr>
            <w:rStyle w:val="Hyperlink"/>
          </w:rPr>
          <w:t xml:space="preserve">http://news.cnstock.com/news,bwkx-201908-4419578.htm</w:t>
        </w:r>
      </w:hyperlink>
    </w:p>
    <w:p>
      <w:pPr>
        <w:pStyle w:val="Heading3"/>
      </w:pPr>
      <w:bookmarkStart w:id="39" w:name="捷龙一号一箭三星成功首飞开启中国商业火箭国家队新探索"/>
      <w:r>
        <w:t xml:space="preserve">捷龙一号“一箭三星”成功首飞开启中国商业火箭国家队新探索</w:t>
      </w:r>
      <w:bookmarkEnd w:id="39"/>
    </w:p>
    <w:p>
      <w:pPr>
        <w:pStyle w:val="FirstParagraph"/>
      </w:pPr>
      <w:r>
        <w:t xml:space="preserve">2019年8月17日午间，由中国航天科技集团有限公司所属中国运载火箭技术研究院抓总研制的捷龙一号遥一火箭在我国酒泉卫星发射中心成功发射。这是捷龙一号运载火箭执行的首次飞行任务，也是我国商业火箭领域国家队的全新探索。</w:t>
      </w:r>
    </w:p>
    <w:p>
      <w:pPr>
        <w:pStyle w:val="TextBody"/>
      </w:pPr>
      <w:r>
        <w:t xml:space="preserve">捷龙一号总长约19.5米，箭体直径1.2米，起飞重量约23.1吨，是我国固体火箭中体积最小、重量最轻的火箭，由中国运载火箭技术研究院所属中国长征火箭有限公司采用商业化模式面向商业小卫星发射市场打造。同时，它也是中国航天科技集团有限公司首型纯商业运载火箭。</w:t>
      </w:r>
    </w:p>
    <w:p>
      <w:pPr>
        <w:pStyle w:val="TextBody"/>
      </w:pPr>
      <w:hyperlink r:id="rId40">
        <w:r>
          <w:rPr>
            <w:rStyle w:val="Hyperlink"/>
          </w:rPr>
          <w:t xml:space="preserve">http://news.cnstock.com/news,bwkx-201908-4418068.htm</w:t>
        </w:r>
      </w:hyperlink>
    </w:p>
    <w:p>
      <w:pPr>
        <w:pStyle w:val="Heading3"/>
      </w:pPr>
      <w:bookmarkStart w:id="41" w:name="三部门联手支持知识产权质押融资"/>
      <w:r>
        <w:t xml:space="preserve">三部门联手支持知识产权质押融资</w:t>
      </w:r>
      <w:bookmarkEnd w:id="41"/>
    </w:p>
    <w:p>
      <w:pPr>
        <w:pStyle w:val="FirstParagraph"/>
      </w:pPr>
      <w:r>
        <w:t xml:space="preserve">近日，中国银保监会联合国家知识产权局、国家版权局发布《关于进一步加强知识产权质押融资工作的通知》，立足于当前银行保险机构开展知识产权质押融资业务形成的经验和存在的困难，提出了有关政策措施，以进一步促进银行保险机构加大对知识产权运用的支持力度，扩大知识产权质押融资。</w:t>
      </w:r>
    </w:p>
    <w:p>
      <w:pPr>
        <w:pStyle w:val="TextBody"/>
      </w:pPr>
      <w:r>
        <w:t xml:space="preserve">《通知》主要内容包括：一是强调优化知识产权质押融资服务体系；二是明确加强知识产权质押融资服务创新；三是要求健全知识产权质押融资风险管理；四是明确完善知识产权质押融资保障工作。《通知》要求银行保险机构支持具有发展潜力的创新型（科技型）企业。鼓励商业银行在知识产权打包融资以及地理标志、集成电路布图设计作为知识产权质押物的可行性等方面进行探索。鼓励商业银行重点支持知识产权密集型产业园区、创新型（科技型）小微企业，促成更多小微企业实现知识产权质押“首贷”。要求商业银行对押品实行动态管理。支持保险机构依法合规投资知识产权密集的创新型（科技型）小微企业，有效提升保险机构金融综合服务能力。</w:t>
      </w:r>
    </w:p>
    <w:p>
      <w:pPr>
        <w:pStyle w:val="TextBody"/>
      </w:pPr>
      <w:hyperlink r:id="rId42">
        <w:r>
          <w:rPr>
            <w:rStyle w:val="Hyperlink"/>
          </w:rPr>
          <w:t xml:space="preserve">http://xw.sinoins.com/2019-08/19/content_301678.htm</w:t>
        </w:r>
      </w:hyperlink>
    </w:p>
    <w:p>
      <w:pPr>
        <w:pStyle w:val="Heading2"/>
      </w:pPr>
      <w:bookmarkStart w:id="43" w:name="行业"/>
      <w:r>
        <w:t xml:space="preserve">行业</w:t>
      </w:r>
      <w:bookmarkEnd w:id="43"/>
    </w:p>
    <w:p>
      <w:pPr>
        <w:pStyle w:val="Heading3"/>
      </w:pPr>
      <w:bookmarkStart w:id="44" w:name="上海自贸试验区临港新片区揭牌"/>
      <w:r>
        <w:t xml:space="preserve">上海自贸试验区临港新片区揭牌</w:t>
      </w:r>
      <w:bookmarkEnd w:id="44"/>
    </w:p>
    <w:p>
      <w:pPr>
        <w:pStyle w:val="FirstParagraph"/>
      </w:pPr>
      <w:r>
        <w:t xml:space="preserve">2019年8月20日，上海自贸试验区临港新片区在滴水湖畔正式揭牌。与此同时，上海市人民政府网站发布了《中国（上海）自由贸易试验区临港新片区管理办法》（下称《管理办法》），同日施行。</w:t>
      </w:r>
    </w:p>
    <w:p>
      <w:pPr>
        <w:pStyle w:val="TextBody"/>
      </w:pPr>
      <w:r>
        <w:t xml:space="preserve">《管理办法》明确提出，在新片区内先行先试金融业对外开放措施，具体包括落实放宽金融机构外资持股比例、拓宽外资金融机构业务经营范围等措施，支持符合条件的境外投资者依法设立各类金融机构，保障中外资金融机构依法平等经营。</w:t>
      </w:r>
    </w:p>
    <w:p>
      <w:pPr>
        <w:pStyle w:val="TextBody"/>
      </w:pPr>
      <w:hyperlink r:id="rId45">
        <w:r>
          <w:rPr>
            <w:rStyle w:val="Hyperlink"/>
          </w:rPr>
          <w:t xml:space="preserve">http://www.ifnews.com/17/detail-42993.html</w:t>
        </w:r>
      </w:hyperlink>
    </w:p>
    <w:p>
      <w:pPr>
        <w:pStyle w:val="Heading3"/>
      </w:pPr>
      <w:bookmarkStart w:id="46" w:name="广电总局鼓励广播电视等旗舰企业发起设立股权投资基金"/>
      <w:r>
        <w:t xml:space="preserve">广电总局：鼓励广播电视等旗舰企业发起设立股权投资基金</w:t>
      </w:r>
      <w:bookmarkEnd w:id="46"/>
    </w:p>
    <w:p>
      <w:pPr>
        <w:pStyle w:val="FirstParagraph"/>
      </w:pPr>
      <w:r>
        <w:t xml:space="preserve">2019年8月19日，国家广播电视总局官网发布公告，印发《关于推动广播电视和网络视听产业高质量发展的意见》（下称《意见》）的通知。</w:t>
      </w:r>
    </w:p>
    <w:p>
      <w:pPr>
        <w:pStyle w:val="TextBody"/>
      </w:pPr>
      <w:r>
        <w:t xml:space="preserve">《意见》中提出，探索建立广播电视和网络视听产业发展联盟，搭建体现广电特色的投融资平台，发挥政府引导作用，建立企业主体和金融机构的供需对接机制。</w:t>
      </w:r>
    </w:p>
    <w:p>
      <w:pPr>
        <w:pStyle w:val="TextBody"/>
      </w:pPr>
      <w:r>
        <w:t xml:space="preserve">鼓励广播电视和网络视听旗舰企业发起设立股权投资基金，积极参与市场并购重组。优先支持符合条件的广播电视和网络视听企业整合优质经营资源上市融资，尽快利用资本市场做强做大。此外，还鼓励各类金融机构组建广电专业团队，创新广电金融产品和服务，鼓励广电企业主动对接金融市场。</w:t>
      </w:r>
    </w:p>
    <w:p>
      <w:pPr>
        <w:pStyle w:val="TextBody"/>
      </w:pPr>
      <w:hyperlink r:id="rId47">
        <w:r>
          <w:rPr>
            <w:rStyle w:val="Hyperlink"/>
          </w:rPr>
          <w:t xml:space="preserve">http://www.ifnews.com/17/detail-42950.html</w:t>
        </w:r>
      </w:hyperlink>
    </w:p>
    <w:p>
      <w:pPr>
        <w:pStyle w:val="Heading3"/>
      </w:pPr>
      <w:bookmarkStart w:id="48" w:name="上海临港特斯拉超级工厂项目获首张综合验收合格证"/>
      <w:r>
        <w:t xml:space="preserve">上海临港特斯拉超级工厂项目获首张综合验收合格证</w:t>
      </w:r>
      <w:bookmarkEnd w:id="48"/>
    </w:p>
    <w:p>
      <w:pPr>
        <w:pStyle w:val="FirstParagraph"/>
      </w:pPr>
      <w:r>
        <w:t xml:space="preserve">2019年8月19日，上海临港特斯拉超级工厂项目（一期）顺利取得首张综合验收合格证——动力站房综合验收合格证。</w:t>
      </w:r>
    </w:p>
    <w:p>
      <w:pPr>
        <w:pStyle w:val="TextBody"/>
      </w:pPr>
      <w:r>
        <w:t xml:space="preserve">从8月16日下午完成平台申报，到8月19日完成全部竣工验收，取得综合验收合格证，仅仅用了3个自然日，距离签订土地出让合同也仅仅10个月的时间，刷新了临港地区的综合验收审批新纪录。</w:t>
      </w:r>
    </w:p>
    <w:p>
      <w:pPr>
        <w:pStyle w:val="TextBody"/>
      </w:pPr>
      <w:hyperlink r:id="rId49">
        <w:r>
          <w:rPr>
            <w:rStyle w:val="Hyperlink"/>
          </w:rPr>
          <w:t xml:space="preserve">http://news.cnstock.com/news,bwkx-201908-4419035.htm</w:t>
        </w:r>
      </w:hyperlink>
    </w:p>
    <w:p>
      <w:pPr>
        <w:pStyle w:val="Heading3"/>
      </w:pPr>
      <w:bookmarkStart w:id="50" w:name="中国etc服务平台正式上线运营"/>
      <w:r>
        <w:t xml:space="preserve">中国ETC服务平台正式上线运营</w:t>
      </w:r>
      <w:bookmarkEnd w:id="50"/>
    </w:p>
    <w:p>
      <w:pPr>
        <w:pStyle w:val="FirstParagraph"/>
      </w:pPr>
      <w:r>
        <w:t xml:space="preserve">2019年8月18日，中国ETC服务平台正式上线提供服务，车主可通过国务院客户端小程序ETC服务专区或交通运输部官方微信ETC服务平台免费在线申办ETC。</w:t>
      </w:r>
    </w:p>
    <w:p>
      <w:pPr>
        <w:pStyle w:val="TextBody"/>
      </w:pPr>
      <w:r>
        <w:t xml:space="preserve">为进一步推动ETC发行工作，交通运输部联合中国政府网共同推出中国ETC服务官方小程序平台，实现ETC线上免费办理、线下送货上门，并向车主提供在线安装教程，自动激活使用。目前，全国各地车主用户可通过关注交通运输部官方微信公众号或使用国务院客户端小程序，进入ETC服务专区进行办理、查询等相关业务。为实现不停车快捷收费目标，今年底前，在籍汽车ETC安装率将力争达到80%，高速公路入口车辆使用比例达到90%，基本实现不停车快捷收费。</w:t>
      </w:r>
    </w:p>
    <w:p>
      <w:pPr>
        <w:pStyle w:val="TextBody"/>
      </w:pPr>
      <w:hyperlink r:id="rId51">
        <w:r>
          <w:rPr>
            <w:rStyle w:val="Hyperlink"/>
          </w:rPr>
          <w:t xml:space="preserve">http://news.cnstock.com/news,bwkx-201908-4418135.htm</w:t>
        </w:r>
      </w:hyperlink>
    </w:p>
    <w:p>
      <w:pPr>
        <w:pStyle w:val="Heading3"/>
      </w:pPr>
      <w:bookmarkStart w:id="52" w:name="宁波舟山港与淡水河谷深化合全球最大港牵手全球最大矿"/>
      <w:r>
        <w:t xml:space="preserve">宁波舟山港与淡水河谷深化合全球最大港牵手全球最大矿</w:t>
      </w:r>
      <w:bookmarkEnd w:id="52"/>
    </w:p>
    <w:p>
      <w:pPr>
        <w:pStyle w:val="FirstParagraph"/>
      </w:pPr>
      <w:r>
        <w:t xml:space="preserve">2019年8月16日，宁波舟山港集团与巴西淡水河谷公司在国内最大的矿石码头——可停靠40万吨级巨型矿砂船的舟山鼠浪湖矿石中转码头签署谅解备忘录，进一步深化双方合作。</w:t>
      </w:r>
    </w:p>
    <w:p>
      <w:pPr>
        <w:pStyle w:val="TextBody"/>
      </w:pPr>
      <w:r>
        <w:t xml:space="preserve">淡水河谷总部位于巴西里约热内卢，业务遍布世界五大洲，是世界上最大的铁矿石和球团矿生产商以及最大的镍金属生产商。而宁波舟山港是全球首个年货物吞吐量超10亿吨的港口，排名已连续10年位居世界第一。</w:t>
      </w:r>
    </w:p>
    <w:p>
      <w:pPr>
        <w:pStyle w:val="TextBody"/>
      </w:pPr>
      <w:hyperlink r:id="rId53">
        <w:r>
          <w:rPr>
            <w:rStyle w:val="Hyperlink"/>
          </w:rPr>
          <w:t xml:space="preserve">http://news.cnstock.com/news,bwkx-201908-4418119.htm</w:t>
        </w:r>
      </w:hyperlink>
    </w:p>
    <w:p>
      <w:pPr>
        <w:pStyle w:val="Heading3"/>
      </w:pPr>
      <w:bookmarkStart w:id="54" w:name="中国与新加坡签署适航维修互认协议"/>
      <w:r>
        <w:t xml:space="preserve">中国与新加坡签署适航维修互认协议</w:t>
      </w:r>
      <w:bookmarkEnd w:id="54"/>
    </w:p>
    <w:p>
      <w:pPr>
        <w:pStyle w:val="FirstParagraph"/>
      </w:pPr>
      <w:r>
        <w:t xml:space="preserve">2019年8月20日，在第56届亚太民航局长会议期间，中国民用航空局副局长李健与新加坡民航局局长岑景祺在尼泊尔首都加德满都签署了《中国民用航空局和新加坡民航局航空维修技术安排》。这是中国民航首次与其他国家签署持续适航维修互认协议。</w:t>
      </w:r>
    </w:p>
    <w:p>
      <w:pPr>
        <w:pStyle w:val="TextBody"/>
      </w:pPr>
      <w:r>
        <w:t xml:space="preserve">目前新加坡有43家维修单位取得了中国民航维修许可证件，包括航空公司的维修企业、制造商授权的维修单位，整体维修实力较强。中国有26家维修单位持有新加坡维修许可证件，包含发动机、部件以及航线维修单位。</w:t>
      </w:r>
    </w:p>
    <w:p>
      <w:pPr>
        <w:pStyle w:val="TextBody"/>
      </w:pPr>
      <w:r>
        <w:t xml:space="preserve">中新两国达成维修互认协议，意味着两国维修单位在获得本国民航局的维修许可证件后，经过简单手续即可获得对方民航局的维修许可证件，无需接受对方民航局的现场审查。</w:t>
      </w:r>
    </w:p>
    <w:p>
      <w:pPr>
        <w:pStyle w:val="TextBody"/>
      </w:pPr>
      <w:hyperlink r:id="rId55">
        <w:r>
          <w:rPr>
            <w:rStyle w:val="Hyperlink"/>
          </w:rPr>
          <w:t xml:space="preserve">http://news.cnstock.com/news,bwkx-201908-4419704.htm</w:t>
        </w:r>
      </w:hyperlink>
    </w:p>
    <w:p>
      <w:pPr>
        <w:pStyle w:val="Heading3"/>
      </w:pPr>
      <w:bookmarkStart w:id="56" w:name="国务院决定在自贸区开展证照分离改革全覆盖试点"/>
      <w:r>
        <w:t xml:space="preserve">国务院决定在自贸区开展“证照分离”改革全覆盖试点</w:t>
      </w:r>
      <w:bookmarkEnd w:id="56"/>
    </w:p>
    <w:p>
      <w:pPr>
        <w:pStyle w:val="FirstParagraph"/>
      </w:pPr>
      <w:r>
        <w:t xml:space="preserve">国务院总理李克强2019年8月21日主持召开国务院常务会议，决定在自由贸易试验区开展“证照分离”改革全覆盖试点，部署扩大养老服务供给促进养老服务消费，确定稳定生猪生产和猪肉保供稳价措施。</w:t>
      </w:r>
    </w:p>
    <w:p>
      <w:pPr>
        <w:pStyle w:val="TextBody"/>
      </w:pPr>
      <w:r>
        <w:t xml:space="preserve">会议决定，从12月1日起，在全国自贸试验区开展“证照分离”改革全覆盖试点，对中央层面设定的全部523项涉企经营许可事项，推动照后减证和简化审批。一是取消对外贸易经营者备案登记等13项审批。二是将报关企业注册登记等8项审批改为备案。三是对人力资源服务许可等60项审批实行告知承诺制。四是对其余442项审批采取压减材料和时限、延长或取消有效期、网上办理、取消现场核验等优化服务措施。五是对上述涉企经营许可事项全部纳入清单管理，向社会公开并定期调整。会议还指出，以需求为导向发展养老服务，是应对老龄化、提升老年人生活质量的重要举措；稳定生猪生产，保障猪肉供应，事关“三农”发展、群众生活和物价稳定。</w:t>
      </w:r>
    </w:p>
    <w:p>
      <w:pPr>
        <w:pStyle w:val="TextBody"/>
      </w:pPr>
      <w:hyperlink r:id="rId57">
        <w:r>
          <w:rPr>
            <w:rStyle w:val="Hyperlink"/>
          </w:rPr>
          <w:t xml:space="preserve">http://news.cnstock.com/news,yw-201908-4420071.htm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- 2019年8月23日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a3fb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0" Type="http://schemas.openxmlformats.org/officeDocument/2006/relationships/hyperlink" Target="http://news.cnstock.com/news,bwkx-201908-4418068.htm" TargetMode="External"/><Relationship Id="rId53" Type="http://schemas.openxmlformats.org/officeDocument/2006/relationships/hyperlink" Target="http://news.cnstock.com/news,bwkx-201908-4418119.htm" TargetMode="External"/><Relationship Id="rId51" Type="http://schemas.openxmlformats.org/officeDocument/2006/relationships/hyperlink" Target="http://news.cnstock.com/news,bwkx-201908-4418135.htm" TargetMode="External"/><Relationship Id="rId49" Type="http://schemas.openxmlformats.org/officeDocument/2006/relationships/hyperlink" Target="http://news.cnstock.com/news,bwkx-201908-4419035.htm" TargetMode="External"/><Relationship Id="rId38" Type="http://schemas.openxmlformats.org/officeDocument/2006/relationships/hyperlink" Target="http://news.cnstock.com/news,bwkx-201908-4419578.htm" TargetMode="External"/><Relationship Id="rId55" Type="http://schemas.openxmlformats.org/officeDocument/2006/relationships/hyperlink" Target="http://news.cnstock.com/news,bwkx-201908-4419704.htm" TargetMode="External"/><Relationship Id="rId26" Type="http://schemas.openxmlformats.org/officeDocument/2006/relationships/hyperlink" Target="http://news.cnstock.com/news,yw-201908-4418264.htm" TargetMode="External"/><Relationship Id="rId57" Type="http://schemas.openxmlformats.org/officeDocument/2006/relationships/hyperlink" Target="http://news.cnstock.com/news,yw-201908-4420071.htm" TargetMode="External"/><Relationship Id="rId24" Type="http://schemas.openxmlformats.org/officeDocument/2006/relationships/hyperlink" Target="http://www.ifnews.com/17/detail-42921.html" TargetMode="External"/><Relationship Id="rId47" Type="http://schemas.openxmlformats.org/officeDocument/2006/relationships/hyperlink" Target="http://www.ifnews.com/17/detail-42950.html" TargetMode="External"/><Relationship Id="rId31" Type="http://schemas.openxmlformats.org/officeDocument/2006/relationships/hyperlink" Target="http://www.ifnews.com/17/detail-42987.html" TargetMode="External"/><Relationship Id="rId33" Type="http://schemas.openxmlformats.org/officeDocument/2006/relationships/hyperlink" Target="http://www.ifnews.com/17/detail-42990.html" TargetMode="External"/><Relationship Id="rId45" Type="http://schemas.openxmlformats.org/officeDocument/2006/relationships/hyperlink" Target="http://www.ifnews.com/17/detail-42993.html" TargetMode="External"/><Relationship Id="rId28" Type="http://schemas.openxmlformats.org/officeDocument/2006/relationships/hyperlink" Target="http://www.xinhuanet.com/money/2019-08/15/c_1124877769.htm" TargetMode="External"/><Relationship Id="rId42" Type="http://schemas.openxmlformats.org/officeDocument/2006/relationships/hyperlink" Target="http://xw.sinoins.com/2019-08/19/content_301678.htm" TargetMode="External"/><Relationship Id="rId35" Type="http://schemas.openxmlformats.org/officeDocument/2006/relationships/hyperlink" Target="https://finance.sina.com.cn/china/2019-08-21/doc-ihytcitn0681172.shtml" TargetMode="External"/><Relationship Id="rId9" Type="http://schemas.openxmlformats.org/officeDocument/2006/relationships/hyperlink" Target="http://www.charltonslaw.com.cn/zhong-gong-zhong-yang-guo-wu-yuan-guan-yu-zhi-chi-shen-zhen-jian-she-zhong-guo-te-se-she-hui-zhu-yi-xian-xing-shi-fan-qu-de-yi-jian-fa-b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news.cnstock.com/news,bwkx-201908-4418068.htm" TargetMode="External"/><Relationship Id="rId53" Type="http://schemas.openxmlformats.org/officeDocument/2006/relationships/hyperlink" Target="http://news.cnstock.com/news,bwkx-201908-4418119.htm" TargetMode="External"/><Relationship Id="rId51" Type="http://schemas.openxmlformats.org/officeDocument/2006/relationships/hyperlink" Target="http://news.cnstock.com/news,bwkx-201908-4418135.htm" TargetMode="External"/><Relationship Id="rId49" Type="http://schemas.openxmlformats.org/officeDocument/2006/relationships/hyperlink" Target="http://news.cnstock.com/news,bwkx-201908-4419035.htm" TargetMode="External"/><Relationship Id="rId38" Type="http://schemas.openxmlformats.org/officeDocument/2006/relationships/hyperlink" Target="http://news.cnstock.com/news,bwkx-201908-4419578.htm" TargetMode="External"/><Relationship Id="rId55" Type="http://schemas.openxmlformats.org/officeDocument/2006/relationships/hyperlink" Target="http://news.cnstock.com/news,bwkx-201908-4419704.htm" TargetMode="External"/><Relationship Id="rId26" Type="http://schemas.openxmlformats.org/officeDocument/2006/relationships/hyperlink" Target="http://news.cnstock.com/news,yw-201908-4418264.htm" TargetMode="External"/><Relationship Id="rId57" Type="http://schemas.openxmlformats.org/officeDocument/2006/relationships/hyperlink" Target="http://news.cnstock.com/news,yw-201908-4420071.htm" TargetMode="External"/><Relationship Id="rId24" Type="http://schemas.openxmlformats.org/officeDocument/2006/relationships/hyperlink" Target="http://www.ifnews.com/17/detail-42921.html" TargetMode="External"/><Relationship Id="rId47" Type="http://schemas.openxmlformats.org/officeDocument/2006/relationships/hyperlink" Target="http://www.ifnews.com/17/detail-42950.html" TargetMode="External"/><Relationship Id="rId31" Type="http://schemas.openxmlformats.org/officeDocument/2006/relationships/hyperlink" Target="http://www.ifnews.com/17/detail-42987.html" TargetMode="External"/><Relationship Id="rId33" Type="http://schemas.openxmlformats.org/officeDocument/2006/relationships/hyperlink" Target="http://www.ifnews.com/17/detail-42990.html" TargetMode="External"/><Relationship Id="rId45" Type="http://schemas.openxmlformats.org/officeDocument/2006/relationships/hyperlink" Target="http://www.ifnews.com/17/detail-42993.html" TargetMode="External"/><Relationship Id="rId28" Type="http://schemas.openxmlformats.org/officeDocument/2006/relationships/hyperlink" Target="http://www.xinhuanet.com/money/2019-08/15/c_1124877769.htm" TargetMode="External"/><Relationship Id="rId42" Type="http://schemas.openxmlformats.org/officeDocument/2006/relationships/hyperlink" Target="http://xw.sinoins.com/2019-08/19/content_301678.htm" TargetMode="External"/><Relationship Id="rId35" Type="http://schemas.openxmlformats.org/officeDocument/2006/relationships/hyperlink" Target="https://finance.sina.com.cn/china/2019-08-21/doc-ihytcitn068117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2019-08-23T03:56:21Z</dcterms:created>
  <dcterms:modified xsi:type="dcterms:W3CDTF">2019-08-23T03:56:21Z</dcterms:modified>
</cp:coreProperties>
</file>