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- 2019年9月13日</w:t>
      </w:r>
    </w:p>
    <w:p>
      <w:pPr>
        <w:pStyle w:val="ReadOnline"/>
      </w:pPr>
      <w:hyperlink r:id="rId9">
        <w:r>
          <w:rPr/>
          <w:t>online version</w:t>
        </w:r>
      </w:hyperlink>
    </w:p>
    <w:p>
      <w:pPr>
        <w:pStyle w:val="Title"/>
      </w:pPr>
      <w:r>
        <w:t>信托受益权账户系统正式上线</w:t>
      </w:r>
    </w:p>
    <w:p>
      <w:pPr>
        <w:pStyle w:val="Heading2"/>
      </w:pPr>
      <w:bookmarkStart w:id="21" w:name="简介"/>
      <w:r>
        <w:t xml:space="preserve">简介</w:t>
      </w:r>
      <w:bookmarkEnd w:id="21"/>
    </w:p>
    <w:p>
      <w:pPr>
        <w:pStyle w:val="FirstParagraph"/>
      </w:pPr>
      <w:r>
        <w:t xml:space="preserve">信托受益权账户系统正式上线；外汇局决定取消QFII和RQFII投资额度限制；证监会明确非上市商业银行发行优先股的相关要求；银保监会发布《保险公司关联交易管理办法》；交通运输部：对外商投资国内船舶代理业务不再限制外资股比</w:t>
      </w:r>
    </w:p>
    <w:p>
      <w:pPr>
        <w:pStyle w:val="Heading2"/>
      </w:pPr>
      <w:bookmarkStart w:id="22" w:name="资本市场"/>
      <w:r>
        <w:t xml:space="preserve">资本市场</w:t>
      </w:r>
      <w:bookmarkEnd w:id="22"/>
    </w:p>
    <w:p>
      <w:pPr>
        <w:pStyle w:val="Heading3"/>
      </w:pPr>
      <w:bookmarkStart w:id="23" w:name="信托受益权账户系统正式上线"/>
      <w:r>
        <w:t xml:space="preserve">信托受益权账户系统正式上线</w:t>
      </w:r>
      <w:bookmarkEnd w:id="23"/>
    </w:p>
    <w:p>
      <w:pPr>
        <w:pStyle w:val="FirstParagraph"/>
      </w:pPr>
      <w:r>
        <w:t xml:space="preserve">2019年9月10日，全国集中管理的信托受益权账户系统正式在中国信登上线，并对外提供账户业务办理服务。中国信登信托受益权账户管理系统上线运行，实现了全国集中管理的信托业受益权账户体系建设“零”的突破，是中国信登作为行业基础服务设施的重要创新。</w:t>
      </w:r>
    </w:p>
    <w:p>
      <w:pPr>
        <w:pStyle w:val="TextBody"/>
      </w:pPr>
      <w:r>
        <w:t xml:space="preserve">首批代理开户机构将可办理信托受益权账户的开立、使用、变更和注销等业务。年内其他信托公司也将陆续签约成为代理开户机构；相关代理开户机构名单将在中国信登官方网站分批次公示。</w:t>
      </w:r>
    </w:p>
    <w:p>
      <w:pPr>
        <w:pStyle w:val="TextBody"/>
      </w:pPr>
      <w:r>
        <w:t xml:space="preserve">下一步，中国信登将按照《信托登记管理办法》和《中国信托登记有限责任公司信托受益权账户管理细则》要求，有序推进代理开户机构资格申请工作，同时将督促代理开户机构落实好对账户主体及受益所有人身份合规管理，做好账户开立环节的抽查和使用环节的检查工作，确保信托受益权账户体系建设的有序开展。</w:t>
      </w:r>
    </w:p>
    <w:p>
      <w:pPr>
        <w:pStyle w:val="TextBody"/>
      </w:pPr>
      <w:hyperlink r:id="rId24">
        <w:r>
          <w:rPr>
            <w:rStyle w:val="Hyperlink"/>
          </w:rPr>
          <w:t xml:space="preserve">http://stock.cnstock.com/stock/smk_xt/201909/4429377.htm</w:t>
        </w:r>
      </w:hyperlink>
    </w:p>
    <w:p>
      <w:pPr>
        <w:pStyle w:val="Heading3"/>
      </w:pPr>
      <w:bookmarkStart w:id="25" w:name="外汇局决定取消qfii和rqfii投资额度限制"/>
      <w:r>
        <w:t xml:space="preserve">外汇局决定取消QFII和RQFII投资额度限制</w:t>
      </w:r>
      <w:bookmarkEnd w:id="25"/>
    </w:p>
    <w:p>
      <w:pPr>
        <w:pStyle w:val="FirstParagraph"/>
      </w:pPr>
      <w:r>
        <w:t xml:space="preserve">经国务院批准，国家外汇管理局决定取消合格境外机构投资者（QFII）和人民币合格境外机构投资者（RQFII）投资额度限制。</w:t>
      </w:r>
    </w:p>
    <w:p>
      <w:pPr>
        <w:pStyle w:val="TextBody"/>
      </w:pPr>
      <w:r>
        <w:t xml:space="preserve">我国先后于2002年和2011年分别实施QFII制度和RQFII制度。合格境外投资者制度，是境外投资者投资境内金融市场的主要渠道之一，是提升人民币资本项目可兑换程度的一项重要制度安排，为我国金融市场稳步开放和深化发展发挥了积极作用。</w:t>
      </w:r>
    </w:p>
    <w:p>
      <w:pPr>
        <w:pStyle w:val="TextBody"/>
      </w:pPr>
      <w:r>
        <w:t xml:space="preserve">此次取消合格境外投资者投资额度限制时，RQFII试点国家和地区限制也一并取消。取消RQFII试点国家和地区限制，有助于进一步便利境外投资者投资境内证券市场。</w:t>
      </w:r>
    </w:p>
    <w:p>
      <w:pPr>
        <w:pStyle w:val="TextBody"/>
      </w:pPr>
      <w:hyperlink r:id="rId26">
        <w:r>
          <w:rPr>
            <w:rStyle w:val="Hyperlink"/>
          </w:rPr>
          <w:t xml:space="preserve">http://xw.sinoins.com/2019-09/11/content_304390.htm</w:t>
        </w:r>
      </w:hyperlink>
    </w:p>
    <w:p>
      <w:pPr>
        <w:pStyle w:val="Heading3"/>
      </w:pPr>
      <w:bookmarkStart w:id="27" w:name="中证协下发业务规范治理可转债网下申购乱象"/>
      <w:r>
        <w:t xml:space="preserve">中证协下发业务规范，治理可转债网下申购乱象</w:t>
      </w:r>
      <w:bookmarkEnd w:id="27"/>
    </w:p>
    <w:p>
      <w:pPr>
        <w:pStyle w:val="FirstParagraph"/>
      </w:pPr>
      <w:r>
        <w:t xml:space="preserve">中国证券业协会（下称“协会”）于近日向各券商下发了《公开发行可转换公司债券网下发行与承销业务规范（征求意见稿）》（下称《业务规范》）。</w:t>
      </w:r>
    </w:p>
    <w:p>
      <w:pPr>
        <w:pStyle w:val="TextBody"/>
      </w:pPr>
      <w:r>
        <w:t xml:space="preserve">《业务规范》明确，申购可转债的配售对象如存在申购规模超过其资金规模或管理资产规模、获配后未及时足额缴付认购资金等情况的，将被列入限制名单。一年内上述情形出现一次的，协会将把相关配售对象列入限制名单6个月；出现两次的，将列入限制名单12个月。同一申购者所管理的每个配售对象参与可转债网下申购时，只能使用一个证券账户。以自有资金申购的，每个申购者视作一个配售对象。配售对象的关联账户不得参与配售。此外，主承销商还应对参与可转债网下申购的配售对象的拟申购金额是否超过其总资产或资金规模进行实质核查。《业务规范》提出，为合理控制申购者违约放弃配售的风险，主承销商应向网下申购者管理的每个配售对象收取不超过50万元申购保证金。发生违约后，申购保证金将不予退还。</w:t>
      </w:r>
    </w:p>
    <w:p>
      <w:pPr>
        <w:pStyle w:val="TextBody"/>
      </w:pPr>
      <w:hyperlink r:id="rId28">
        <w:r>
          <w:rPr>
            <w:rStyle w:val="Hyperlink"/>
          </w:rPr>
          <w:t xml:space="preserve">http://stock.cnstock.com/stock/smk_zq/201909/4428847.htm</w:t>
        </w:r>
      </w:hyperlink>
    </w:p>
    <w:p>
      <w:pPr>
        <w:pStyle w:val="Heading3"/>
      </w:pPr>
      <w:bookmarkStart w:id="29" w:name="证监会明确非上市商业银行发行优先股的相关要求"/>
      <w:r>
        <w:t xml:space="preserve">证监会明确非上市商业银行发行优先股的相关要求</w:t>
      </w:r>
      <w:bookmarkEnd w:id="29"/>
    </w:p>
    <w:p>
      <w:pPr>
        <w:pStyle w:val="FirstParagraph"/>
      </w:pPr>
      <w:r>
        <w:t xml:space="preserve">2019年9月6日，证监会发布《非上市公众公司监管问答——非上市商业银行发行优先股的相关要求》（以下简称《要求》）。</w:t>
      </w:r>
    </w:p>
    <w:p>
      <w:pPr>
        <w:pStyle w:val="TextBody"/>
      </w:pPr>
      <w:r>
        <w:t xml:space="preserve">据《要求》，不在全国股转系统挂牌且股东人数超过200人的非上市商业银行申请发行优先股的，除遵守《优先股试点管理办法》、《非上市公众公司监督管理办法》相关规定外，还应当符合以下要求：一、首次申请发行优先股的，应当符合《非上市公众公司监管指引第4号——股东人数超过200人的未上市股份有限公司申请行政许可有关问题的审核指引》审核标准的相关要求，且股份确权数量在80%以上（含80%），但无须提交该指引所列的申请文件。中介机构应对申请人是否满足审核标准进行核查并在优先股发行申请文件中发表明确意见。二、按照《非上市公众公司信息披露内容与格式准则第7号——定向发行优先股说明书和发行情况报告书》、《非上市公众公司信息披露内容与格式准则第8号——定向发行优先股申请文件》制作并提交申请文件。三、优先股发行后，应在中国证券登记结算公司进行登记存管。四、信息披露不适用全国股转系统关于优先股信息披露的特殊规定。</w:t>
      </w:r>
    </w:p>
    <w:p>
      <w:pPr>
        <w:pStyle w:val="TextBody"/>
      </w:pPr>
      <w:hyperlink r:id="rId30">
        <w:r>
          <w:rPr>
            <w:rStyle w:val="Hyperlink"/>
          </w:rPr>
          <w:t xml:space="preserve">http://news.cnstock.com/news,bwkx-201909-4427774.htm</w:t>
        </w:r>
      </w:hyperlink>
    </w:p>
    <w:p>
      <w:pPr>
        <w:pStyle w:val="Heading3"/>
      </w:pPr>
      <w:bookmarkStart w:id="31" w:name="将对网络小额贷款将受分级管理"/>
      <w:r>
        <w:t xml:space="preserve">将对网络小额贷款将受分级管理</w:t>
      </w:r>
      <w:bookmarkEnd w:id="31"/>
    </w:p>
    <w:p>
      <w:pPr>
        <w:pStyle w:val="FirstParagraph"/>
      </w:pPr>
      <w:r>
        <w:t xml:space="preserve">近日，中国银保监会普惠金融部表示，针对互联网小贷公司的规范与发展，已计划对网络小额贷款实施差异化监管，目前正在研究制定全国统一的网络小额贷款监管制度和经营规则，将提高准入门槛，引入分级管理模式，以推动网络小额贷款从业机构扶优限劣、规范发展。</w:t>
      </w:r>
    </w:p>
    <w:p>
      <w:pPr>
        <w:pStyle w:val="TextBody"/>
      </w:pPr>
      <w:hyperlink r:id="rId32">
        <w:r>
          <w:rPr>
            <w:rStyle w:val="Hyperlink"/>
          </w:rPr>
          <w:t xml:space="preserve">http://news.cnstock.com/news,bwkx-201909-4429596.htm</w:t>
        </w:r>
      </w:hyperlink>
    </w:p>
    <w:p>
      <w:pPr>
        <w:pStyle w:val="Heading3"/>
      </w:pPr>
      <w:bookmarkStart w:id="33" w:name="广东五部门联合印发城投债券发行与风险管控办法"/>
      <w:r>
        <w:t xml:space="preserve">广东五部门联合印发城投债券发行与风险管控办法</w:t>
      </w:r>
      <w:bookmarkEnd w:id="33"/>
    </w:p>
    <w:p>
      <w:pPr>
        <w:pStyle w:val="FirstParagraph"/>
      </w:pPr>
      <w:r>
        <w:t xml:space="preserve">近日，经广东省政府同意，广东省发展改革委、广东省财政厅、广东省国资委、中国人民银行广州分行、广东证监局等五单位《关于城投债券发行与风险管控的办法》（试行）正式印发。</w:t>
      </w:r>
    </w:p>
    <w:p>
      <w:pPr>
        <w:pStyle w:val="TextBody"/>
      </w:pPr>
      <w:r>
        <w:t xml:space="preserve">该办法共五章二十六条，自2019年9月30日起施行，有效期3年。制定目的是为防范化解重大风险，重点防控城投企业债务风险，遏制地方政府隐性债务增量，促进该省债券融资工作平稳健康发展。</w:t>
      </w:r>
    </w:p>
    <w:p>
      <w:pPr>
        <w:pStyle w:val="TextBody"/>
      </w:pPr>
      <w:hyperlink r:id="rId34">
        <w:r>
          <w:rPr>
            <w:rStyle w:val="Hyperlink"/>
          </w:rPr>
          <w:t xml:space="preserve">http://news.cnstock.com/news,bwkx-201909-4429652.htm</w:t>
        </w:r>
      </w:hyperlink>
    </w:p>
    <w:p>
      <w:pPr>
        <w:pStyle w:val="Heading2"/>
      </w:pPr>
      <w:bookmarkStart w:id="35" w:name="保险"/>
      <w:r>
        <w:t xml:space="preserve">保险</w:t>
      </w:r>
      <w:bookmarkEnd w:id="35"/>
    </w:p>
    <w:p>
      <w:pPr>
        <w:pStyle w:val="Heading3"/>
      </w:pPr>
      <w:bookmarkStart w:id="36" w:name="银保监会发布保险公司关联交易管理办法"/>
      <w:r>
        <w:t xml:space="preserve">银保监会发布《保险公司关联交易管理办法》</w:t>
      </w:r>
      <w:bookmarkEnd w:id="36"/>
    </w:p>
    <w:p>
      <w:pPr>
        <w:pStyle w:val="FirstParagraph"/>
      </w:pPr>
      <w:r>
        <w:t xml:space="preserve">银保监会近日发布《保险公司关联交易管理办法》（下简称《办法》）。</w:t>
      </w:r>
    </w:p>
    <w:p>
      <w:pPr>
        <w:pStyle w:val="TextBody"/>
      </w:pPr>
      <w:r>
        <w:t xml:space="preserve">《办法》明确了从严监管、穿透监管的原则，建立事前、事中、事后全流程的关联交易审查和报告制度，重点监控公司治理不健全机构的关联交易和大额资金运用行为，要求保险公司提高市场竞争力，控制关联交易的数量和规模，从而达到提高保险公司经营独立性，防止利益输送风险的监管目标。《办法》从完善关联方管理、加强关联交易内控体系、强化关联交易外部监督、加强关联交易穿透监管和强化监管职责五方面对原有制度进行了优化。</w:t>
      </w:r>
    </w:p>
    <w:p>
      <w:pPr>
        <w:pStyle w:val="TextBody"/>
      </w:pPr>
      <w:hyperlink r:id="rId37">
        <w:r>
          <w:rPr>
            <w:rStyle w:val="Hyperlink"/>
          </w:rPr>
          <w:t xml:space="preserve">http://news.cnstock.com/news,yw-201909-4428778.htm</w:t>
        </w:r>
      </w:hyperlink>
    </w:p>
    <w:p>
      <w:pPr>
        <w:pStyle w:val="Heading3"/>
      </w:pPr>
      <w:bookmarkStart w:id="38" w:name="健康保障委托管理业务改产品备案为业务监管"/>
      <w:r>
        <w:t xml:space="preserve">健康保障委托管理业务改产品备案为业务监管</w:t>
      </w:r>
      <w:bookmarkEnd w:id="38"/>
    </w:p>
    <w:p>
      <w:pPr>
        <w:pStyle w:val="FirstParagraph"/>
      </w:pPr>
      <w:r>
        <w:t xml:space="preserve">近日，中国银保监会向各银保监局、各保险公司下发《关于进一步规范健康保障委托管理业务有关事项的通知》（征求意见稿）（以下简称《通知》）。</w:t>
      </w:r>
    </w:p>
    <w:p>
      <w:pPr>
        <w:pStyle w:val="TextBody"/>
      </w:pPr>
      <w:r>
        <w:t xml:space="preserve">健康保障委托管理业务是指保险公司接受政府部门、企事业单位、社会团体等团体客户委托，开展的经办管理服务。</w:t>
      </w:r>
    </w:p>
    <w:p>
      <w:pPr>
        <w:pStyle w:val="TextBody"/>
      </w:pPr>
      <w:r>
        <w:t xml:space="preserve">《通知》进一步明确了健康保障委托管理业务的开展条件和委托业务内容，改产品备案为业务监管，要求加强监管，防范各类风险，同时加强业务信息统计和市场情况分析。</w:t>
      </w:r>
    </w:p>
    <w:p>
      <w:pPr>
        <w:pStyle w:val="TextBody"/>
      </w:pPr>
      <w:hyperlink r:id="rId39">
        <w:r>
          <w:rPr>
            <w:rStyle w:val="Hyperlink"/>
          </w:rPr>
          <w:t xml:space="preserve">http://xw.sinoins.com/2019-09/10/content_304232.htm</w:t>
        </w:r>
      </w:hyperlink>
    </w:p>
    <w:p>
      <w:pPr>
        <w:pStyle w:val="Heading3"/>
      </w:pPr>
      <w:bookmarkStart w:id="40" w:name="保险业协会发布四项建设工程领域保证保险行业示范条款"/>
      <w:r>
        <w:t xml:space="preserve">保险业协会发布四项建设工程领域保证保险行业示范条款</w:t>
      </w:r>
      <w:bookmarkEnd w:id="40"/>
    </w:p>
    <w:p>
      <w:pPr>
        <w:pStyle w:val="FirstParagraph"/>
      </w:pPr>
      <w:r>
        <w:t xml:space="preserve">日前，中国保险行业协会（下称保险业协会）在京公开发布四项建设工程领域保证保险行业示范条款。具体包括：《建设工程施工合同投标保证保险示范条款》、《建设工程施工合同履约保证保险示范条款》、《建设工程施工合同预付款保证保险示范条款》及《建设工程施工合同质量保证保险示范条款》。</w:t>
      </w:r>
    </w:p>
    <w:p>
      <w:pPr>
        <w:pStyle w:val="TextBody"/>
      </w:pPr>
      <w:r>
        <w:t xml:space="preserve">上述四项行业示范条款结合建筑行业的市场需求，根据投标、履约、预付款和质量保证不同环节的风险特征，统一了投保人、被保险人及保险人的权责标准。示范条款的推出，将促进保险公司加强对施工企业的风险评估及差异化管理，有利于提高建设工程企业风险管控水平。</w:t>
      </w:r>
    </w:p>
    <w:p>
      <w:pPr>
        <w:pStyle w:val="TextBody"/>
      </w:pPr>
      <w:hyperlink r:id="rId41">
        <w:r>
          <w:rPr>
            <w:rStyle w:val="Hyperlink"/>
          </w:rPr>
          <w:t xml:space="preserve">http://news.cnstock.com/news,bwkx-201909-4430121.htm</w:t>
        </w:r>
      </w:hyperlink>
    </w:p>
    <w:p>
      <w:pPr>
        <w:pStyle w:val="Heading2"/>
      </w:pPr>
      <w:bookmarkStart w:id="42" w:name="知产"/>
      <w:r>
        <w:t xml:space="preserve">知产</w:t>
      </w:r>
      <w:bookmarkEnd w:id="42"/>
    </w:p>
    <w:p>
      <w:pPr>
        <w:pStyle w:val="Heading3"/>
      </w:pPr>
      <w:bookmarkStart w:id="43" w:name="我国北斗全球系统建设明年将全面完成"/>
      <w:r>
        <w:t xml:space="preserve">我国北斗全球系统建设明年将全面完成</w:t>
      </w:r>
      <w:bookmarkEnd w:id="43"/>
    </w:p>
    <w:p>
      <w:pPr>
        <w:pStyle w:val="FirstParagraph"/>
      </w:pPr>
      <w:r>
        <w:t xml:space="preserve">据中国卫星导航系统管理办公室副主任杨军近日在沪召开的第八届航天技术创新国际会议上介绍，从2017年底开始，北斗三号系统建设进入了超高密度发射。目前，北斗系统正式向全球提供RNSS服务，在轨卫星共39颗。今年还将再发射5-7颗，明年再发射2-4颗卫星后，北斗全球系统建设将全面完成。</w:t>
      </w:r>
    </w:p>
    <w:p>
      <w:pPr>
        <w:pStyle w:val="TextBody"/>
      </w:pPr>
      <w:hyperlink r:id="rId44">
        <w:r>
          <w:rPr>
            <w:rStyle w:val="Hyperlink"/>
          </w:rPr>
          <w:t xml:space="preserve">http://news.cnstock.com/theme,201909-4429930.htm</w:t>
        </w:r>
      </w:hyperlink>
    </w:p>
    <w:p>
      <w:pPr>
        <w:pStyle w:val="Heading3"/>
      </w:pPr>
      <w:bookmarkStart w:id="45" w:name="科技部印发国家新一代人工智能创新发展试验区建设工作指引"/>
      <w:r>
        <w:t xml:space="preserve">科技部印发《国家新一代人工智能创新发展试验区建设工作指引》</w:t>
      </w:r>
      <w:bookmarkEnd w:id="45"/>
    </w:p>
    <w:p>
      <w:pPr>
        <w:pStyle w:val="FirstParagraph"/>
      </w:pPr>
      <w:r>
        <w:t xml:space="preserve">科技部发布关于印发《国家新一代人工智能创新发展试验区建设工作指引》的通知（下简称《通知》）。《通知》指出，到2023年，布局建设20个左右试验区，创新一批切实有效的政策工具，形成一批人工智能与经济社会发展深度融合的典型模式，积累一批可复制可推广的经验做法，打造一批具有重大引领带动作用的人工智能创新高地。</w:t>
      </w:r>
    </w:p>
    <w:p>
      <w:pPr>
        <w:pStyle w:val="TextBody"/>
      </w:pPr>
      <w:r>
        <w:t xml:space="preserve">《通知》提出，开展人工智能技术应用示范，探索促进人工智能与经济社会发展深度融合的新路径。围绕地方经济发展和民生改善的迫切需求，在制造、农业农村、物流、金融、商务、家居、医疗、教育、政务、交通、环保、安防、城市管理、助残养老、家政服务等领域开展人工智能技术应用示范，拓展应用场景，加快推进人工智能与实体经济深度融合，促进人工智能在社会民生领域的广泛应用。</w:t>
      </w:r>
    </w:p>
    <w:p>
      <w:pPr>
        <w:pStyle w:val="TextBody"/>
      </w:pPr>
      <w:hyperlink r:id="rId46">
        <w:r>
          <w:rPr>
            <w:rStyle w:val="Hyperlink"/>
          </w:rPr>
          <w:t xml:space="preserve">http://news.cnstock.com/news,bwkx-201909-4427124.htm</w:t>
        </w:r>
      </w:hyperlink>
    </w:p>
    <w:p>
      <w:pPr>
        <w:pStyle w:val="Heading2"/>
      </w:pPr>
      <w:bookmarkStart w:id="47" w:name="行业"/>
      <w:r>
        <w:t xml:space="preserve">行业</w:t>
      </w:r>
      <w:bookmarkEnd w:id="47"/>
    </w:p>
    <w:p>
      <w:pPr>
        <w:pStyle w:val="Heading3"/>
      </w:pPr>
      <w:bookmarkStart w:id="48" w:name="交通运输部对外商投资国内船舶代理业务不再限制外资股比"/>
      <w:r>
        <w:t xml:space="preserve">交通运输部：对外商投资国内船舶代理业务不再限制外资股比</w:t>
      </w:r>
      <w:bookmarkEnd w:id="48"/>
    </w:p>
    <w:p>
      <w:pPr>
        <w:pStyle w:val="FirstParagraph"/>
      </w:pPr>
      <w:r>
        <w:t xml:space="preserve">近期，国家发展改革委联合商务部在征求交通运输部意见并报请党中央、国务院同意后发布了《外商投资准入特别管理措施（负面清单）（2019年版）》，取消了《外商投资准入特别管理措施（负面清单）（2018年版）》中“国内船舶代理公司须由中方控股”的要求。</w:t>
      </w:r>
    </w:p>
    <w:p>
      <w:pPr>
        <w:pStyle w:val="TextBody"/>
      </w:pPr>
      <w:hyperlink r:id="rId49">
        <w:r>
          <w:rPr>
            <w:rStyle w:val="Hyperlink"/>
          </w:rPr>
          <w:t xml:space="preserve">http://news.cnstock.com/news,bwkx-201909-4429164.htm</w:t>
        </w:r>
      </w:hyperlink>
    </w:p>
    <w:p>
      <w:pPr>
        <w:pStyle w:val="Heading3"/>
      </w:pPr>
      <w:bookmarkStart w:id="50" w:name="首个物流新业态管理办法出台"/>
      <w:r>
        <w:t xml:space="preserve">首个物流新业态管理办法出台</w:t>
      </w:r>
      <w:bookmarkEnd w:id="50"/>
    </w:p>
    <w:p>
      <w:pPr>
        <w:pStyle w:val="FirstParagraph"/>
      </w:pPr>
      <w:r>
        <w:t xml:space="preserve">交通运输部、国家税务总局近日发布《网络平台道路货物运输经营管理暂行办法》，这是我国首个物流新业态管理暂行办法，将于2020年1月1日起施行，有效期2年。</w:t>
      </w:r>
    </w:p>
    <w:p>
      <w:pPr>
        <w:pStyle w:val="TextBody"/>
      </w:pPr>
      <w:r>
        <w:t xml:space="preserve">《办法》依据既有法律法规构建了网络货运经营监督管理的制度体系，鼓励现代信息技术在道路货运领域的创新应用，支持网络货运新业态创新发展；要求强化网络货运经营者的全程运输责任和依法纳税义务；主张针对突出矛盾和难点问题，完善相关管理制度；充分利用信息化手段加强网络货运经营的运行监测和监管。</w:t>
      </w:r>
    </w:p>
    <w:p>
      <w:pPr>
        <w:pStyle w:val="TextBody"/>
      </w:pPr>
      <w:hyperlink r:id="rId51">
        <w:r>
          <w:rPr>
            <w:rStyle w:val="Hyperlink"/>
          </w:rPr>
          <w:t xml:space="preserve">http://news.cnstock.com/industry,rdjj-201909-4428848.htm</w:t>
        </w:r>
      </w:hyperlink>
    </w:p>
    <w:p>
      <w:pPr>
        <w:pStyle w:val="Heading3"/>
      </w:pPr>
      <w:bookmarkStart w:id="52" w:name="长三角区域合力打造世界级机场群"/>
      <w:r>
        <w:t xml:space="preserve">长三角区域合力打造世界级机场群</w:t>
      </w:r>
      <w:bookmarkEnd w:id="52"/>
    </w:p>
    <w:p>
      <w:pPr>
        <w:pStyle w:val="FirstParagraph"/>
      </w:pPr>
      <w:r>
        <w:t xml:space="preserve">2019年9月9日举行的上海市政府新闻发布会公布，上海航空枢纽建设取得明显成效，亚太门户复合航空枢纽地位基本确立。此前，浦东机场三期扩建、虹桥机场T1航站楼改造等建设已铺开，随着浦东机场三期扩建主体工程的基本验收，浦东机场将以全新面貌呈现。</w:t>
      </w:r>
    </w:p>
    <w:p>
      <w:pPr>
        <w:pStyle w:val="TextBody"/>
      </w:pPr>
      <w:r>
        <w:t xml:space="preserve">据今年发布的《长江三角洲区域一体化发展规划纲要》明确，长三角将编制实施长三角民航协同发展战略规划，合力打造世界级机场群。目前，上海已经研究谋划形成了《长三角民航协同发展战略规划（上海篇）2020-2035》，一旦民航主管部门批复，上海将及时披露。纵观整个长三角区域，在合力打造世界级机场群的目标下，南通、苏州等地近期也有新动作。</w:t>
      </w:r>
    </w:p>
    <w:p>
      <w:pPr>
        <w:pStyle w:val="TextBody"/>
      </w:pPr>
      <w:hyperlink r:id="rId53">
        <w:r>
          <w:rPr>
            <w:rStyle w:val="Hyperlink"/>
          </w:rPr>
          <w:t xml:space="preserve">http://news.cnstock.com/theme,201909-4428763.htm</w:t>
        </w:r>
      </w:hyperlink>
    </w:p>
    <w:p>
      <w:pPr>
        <w:pStyle w:val="Heading2"/>
      </w:pPr>
      <w:bookmarkStart w:id="54" w:name="并购"/>
      <w:r>
        <w:t xml:space="preserve">并购</w:t>
      </w:r>
      <w:bookmarkEnd w:id="54"/>
    </w:p>
    <w:p>
      <w:pPr>
        <w:pStyle w:val="Heading3"/>
      </w:pPr>
      <w:bookmarkStart w:id="55" w:name="阿里20亿美元全资收购考拉领投网易云音乐"/>
      <w:r>
        <w:t xml:space="preserve">阿里20亿美元全资收购考拉，领投网易云音乐</w:t>
      </w:r>
      <w:bookmarkEnd w:id="55"/>
    </w:p>
    <w:p>
      <w:pPr>
        <w:pStyle w:val="FirstParagraph"/>
      </w:pPr>
      <w:r>
        <w:t xml:space="preserve">2019年9月6日，网易与阿里巴巴共同宣布达成战略合作，阿里巴巴集团以20亿美元全资收购网易旗下跨境电商平台考拉。天猫进出口事业群总经理刘鹏将兼任考拉CEO。考拉品牌将继续保持独立运营。</w:t>
      </w:r>
    </w:p>
    <w:p>
      <w:pPr>
        <w:pStyle w:val="TextBody"/>
      </w:pPr>
      <w:r>
        <w:t xml:space="preserve">同时，阿里巴巴作为领投方参与了网易云音乐此轮7亿美元的融资。作为同在杭州成长起来的互联网企业，未来双方将更紧密地合作，共同探索数字经济时代的未来。</w:t>
      </w:r>
    </w:p>
    <w:p>
      <w:pPr>
        <w:pStyle w:val="TextBody"/>
      </w:pPr>
      <w:hyperlink r:id="rId56">
        <w:r>
          <w:rPr>
            <w:rStyle w:val="Hyperlink"/>
          </w:rPr>
          <w:t xml:space="preserve">http://news.cnstock.com/news,bwkx-201909-4427417.htm</w:t>
        </w:r>
      </w:hyperlink>
    </w:p>
    <w:p>
      <w:pPr>
        <w:pStyle w:val="Heading3"/>
      </w:pPr>
      <w:bookmarkStart w:id="57" w:name="博深股份拟收购海纬机车望成其新利润增长点"/>
      <w:r>
        <w:t xml:space="preserve">博深股份拟收购海纬机车望成其新利润增长点</w:t>
      </w:r>
      <w:bookmarkEnd w:id="57"/>
    </w:p>
    <w:p>
      <w:pPr>
        <w:pStyle w:val="FirstParagraph"/>
      </w:pPr>
      <w:r>
        <w:t xml:space="preserve">近日，博深股份发布公告，拟以发行股份及支付现金的方式购买交易对方张恒岩、海纬进出口、瑞安国益所持海纬机车86.53%的股权，本次交易完成后海纬机车将成为上市公司全资子公司。</w:t>
      </w:r>
    </w:p>
    <w:p>
      <w:pPr>
        <w:pStyle w:val="TextBody"/>
      </w:pPr>
      <w:r>
        <w:t xml:space="preserve">博深股份业务涵盖五金工具、涂附磨具、轨道交通装备零部件三个领域，主营业务为金刚石工具、涂附磨具等产品的研发、生产和销售。</w:t>
      </w:r>
    </w:p>
    <w:p>
      <w:pPr>
        <w:pStyle w:val="TextBody"/>
      </w:pPr>
      <w:r>
        <w:t xml:space="preserve">海纬机车是国内领先的高铁动车组制动盘供应商，主要从事高铁制动盘和汽缸盖的研发、生产和销售，属于铁路专用设备及器材、配件制造行业，是复兴号中国标准动车组制动盘的核心供应商。根据未经审计财务报表数据，海纬机车2017年和2018年公司对纵横机电的销售收入占当年营业收入比例分别为87.89%和95.25%，盈利能力可观。</w:t>
      </w:r>
    </w:p>
    <w:p>
      <w:pPr>
        <w:pStyle w:val="TextBody"/>
      </w:pPr>
      <w:r>
        <w:t xml:space="preserve">博深股份在披露的交易预案中表示：希望通过本次横向延伸高铁制动产业链，可以为高铁动车组提供协同使用的关键制动部件，上市公司可以整合内外部研发、客户等资源，增强闸片和制动盘的联动研发、生产和销售，提升上市公司在轨道交通装备零部件领域的竞争力及市场份额，进而提升上市公司的持续盈利能力。</w:t>
      </w:r>
    </w:p>
    <w:p>
      <w:pPr>
        <w:pStyle w:val="TextBody"/>
      </w:pPr>
      <w:hyperlink r:id="rId58">
        <w:r>
          <w:rPr>
            <w:rStyle w:val="Hyperlink"/>
          </w:rPr>
          <w:t xml:space="preserve">https://finance.huanqiu.com/article/7PQMKoZYb9S</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- 2019年9月13日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d56e8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1" Type="http://schemas.openxmlformats.org/officeDocument/2006/relationships/hyperlink" Target="http://news.cnstock.com/industry,rdjj-201909-4428848.htm" TargetMode="External"/><Relationship Id="rId46" Type="http://schemas.openxmlformats.org/officeDocument/2006/relationships/hyperlink" Target="http://news.cnstock.com/news,bwkx-201909-4427124.htm" TargetMode="External"/><Relationship Id="rId56" Type="http://schemas.openxmlformats.org/officeDocument/2006/relationships/hyperlink" Target="http://news.cnstock.com/news,bwkx-201909-4427417.htm" TargetMode="External"/><Relationship Id="rId30" Type="http://schemas.openxmlformats.org/officeDocument/2006/relationships/hyperlink" Target="http://news.cnstock.com/news,bwkx-201909-4427774.htm" TargetMode="External"/><Relationship Id="rId49" Type="http://schemas.openxmlformats.org/officeDocument/2006/relationships/hyperlink" Target="http://news.cnstock.com/news,bwkx-201909-4429164.htm" TargetMode="External"/><Relationship Id="rId32" Type="http://schemas.openxmlformats.org/officeDocument/2006/relationships/hyperlink" Target="http://news.cnstock.com/news,bwkx-201909-4429596.htm" TargetMode="External"/><Relationship Id="rId34" Type="http://schemas.openxmlformats.org/officeDocument/2006/relationships/hyperlink" Target="http://news.cnstock.com/news,bwkx-201909-4429652.htm" TargetMode="External"/><Relationship Id="rId41" Type="http://schemas.openxmlformats.org/officeDocument/2006/relationships/hyperlink" Target="http://news.cnstock.com/news,bwkx-201909-4430121.htm" TargetMode="External"/><Relationship Id="rId37" Type="http://schemas.openxmlformats.org/officeDocument/2006/relationships/hyperlink" Target="http://news.cnstock.com/news,yw-201909-4428778.htm" TargetMode="External"/><Relationship Id="rId53" Type="http://schemas.openxmlformats.org/officeDocument/2006/relationships/hyperlink" Target="http://news.cnstock.com/theme,201909-4428763.htm" TargetMode="External"/><Relationship Id="rId44" Type="http://schemas.openxmlformats.org/officeDocument/2006/relationships/hyperlink" Target="http://news.cnstock.com/theme,201909-4429930.htm" TargetMode="External"/><Relationship Id="rId24" Type="http://schemas.openxmlformats.org/officeDocument/2006/relationships/hyperlink" Target="http://stock.cnstock.com/stock/smk_xt/201909/4429377.htm" TargetMode="External"/><Relationship Id="rId28" Type="http://schemas.openxmlformats.org/officeDocument/2006/relationships/hyperlink" Target="http://stock.cnstock.com/stock/smk_zq/201909/4428847.htm" TargetMode="External"/><Relationship Id="rId39" Type="http://schemas.openxmlformats.org/officeDocument/2006/relationships/hyperlink" Target="http://xw.sinoins.com/2019-09/10/content_304232.htm" TargetMode="External"/><Relationship Id="rId26" Type="http://schemas.openxmlformats.org/officeDocument/2006/relationships/hyperlink" Target="http://xw.sinoins.com/2019-09/11/content_304390.htm" TargetMode="External"/><Relationship Id="rId58" Type="http://schemas.openxmlformats.org/officeDocument/2006/relationships/hyperlink" Target="https://finance.huanqiu.com/article/7PQMKoZYb9S" TargetMode="External"/><Relationship Id="rId9" Type="http://schemas.openxmlformats.org/officeDocument/2006/relationships/hyperlink" Target="http://www.charltonslaw.com.cn/xin-tuo-shou-yi-quan-zhang-hu-xi-tong-zheng-shi-shang-x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news.cnstock.com/industry,rdjj-201909-4428848.htm" TargetMode="External"/><Relationship Id="rId46" Type="http://schemas.openxmlformats.org/officeDocument/2006/relationships/hyperlink" Target="http://news.cnstock.com/news,bwkx-201909-4427124.htm" TargetMode="External"/><Relationship Id="rId56" Type="http://schemas.openxmlformats.org/officeDocument/2006/relationships/hyperlink" Target="http://news.cnstock.com/news,bwkx-201909-4427417.htm" TargetMode="External"/><Relationship Id="rId30" Type="http://schemas.openxmlformats.org/officeDocument/2006/relationships/hyperlink" Target="http://news.cnstock.com/news,bwkx-201909-4427774.htm" TargetMode="External"/><Relationship Id="rId49" Type="http://schemas.openxmlformats.org/officeDocument/2006/relationships/hyperlink" Target="http://news.cnstock.com/news,bwkx-201909-4429164.htm" TargetMode="External"/><Relationship Id="rId32" Type="http://schemas.openxmlformats.org/officeDocument/2006/relationships/hyperlink" Target="http://news.cnstock.com/news,bwkx-201909-4429596.htm" TargetMode="External"/><Relationship Id="rId34" Type="http://schemas.openxmlformats.org/officeDocument/2006/relationships/hyperlink" Target="http://news.cnstock.com/news,bwkx-201909-4429652.htm" TargetMode="External"/><Relationship Id="rId41" Type="http://schemas.openxmlformats.org/officeDocument/2006/relationships/hyperlink" Target="http://news.cnstock.com/news,bwkx-201909-4430121.htm" TargetMode="External"/><Relationship Id="rId37" Type="http://schemas.openxmlformats.org/officeDocument/2006/relationships/hyperlink" Target="http://news.cnstock.com/news,yw-201909-4428778.htm" TargetMode="External"/><Relationship Id="rId53" Type="http://schemas.openxmlformats.org/officeDocument/2006/relationships/hyperlink" Target="http://news.cnstock.com/theme,201909-4428763.htm" TargetMode="External"/><Relationship Id="rId44" Type="http://schemas.openxmlformats.org/officeDocument/2006/relationships/hyperlink" Target="http://news.cnstock.com/theme,201909-4429930.htm" TargetMode="External"/><Relationship Id="rId24" Type="http://schemas.openxmlformats.org/officeDocument/2006/relationships/hyperlink" Target="http://stock.cnstock.com/stock/smk_xt/201909/4429377.htm" TargetMode="External"/><Relationship Id="rId28" Type="http://schemas.openxmlformats.org/officeDocument/2006/relationships/hyperlink" Target="http://stock.cnstock.com/stock/smk_zq/201909/4428847.htm" TargetMode="External"/><Relationship Id="rId39" Type="http://schemas.openxmlformats.org/officeDocument/2006/relationships/hyperlink" Target="http://xw.sinoins.com/2019-09/10/content_304232.htm" TargetMode="External"/><Relationship Id="rId26" Type="http://schemas.openxmlformats.org/officeDocument/2006/relationships/hyperlink" Target="http://xw.sinoins.com/2019-09/11/content_304390.htm" TargetMode="External"/><Relationship Id="rId58" Type="http://schemas.openxmlformats.org/officeDocument/2006/relationships/hyperlink" Target="https://finance.huanqiu.com/article/7PQMKoZYb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2019-09-13T01:59:03Z</dcterms:created>
  <dcterms:modified xsi:type="dcterms:W3CDTF">2019-09-13T01:59:03Z</dcterms:modified>
</cp:coreProperties>
</file>