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- 2019年9月20日</w:t>
      </w:r>
    </w:p>
    <w:p>
      <w:pPr>
        <w:pStyle w:val="ReadOnline"/>
      </w:pPr>
      <w:hyperlink r:id="rId9">
        <w:r>
          <w:rPr/>
          <w:t>online version</w:t>
        </w:r>
      </w:hyperlink>
    </w:p>
    <w:p>
      <w:pPr>
        <w:pStyle w:val="Title"/>
      </w:pPr>
      <w:r>
        <w:t>深交所将于2020年起暂免收取上市基金相关费用</w:t>
      </w:r>
    </w:p>
    <w:p>
      <w:pPr>
        <w:pStyle w:val="Heading2"/>
      </w:pPr>
      <w:bookmarkStart w:id="21" w:name="简介"/>
      <w:r>
        <w:t xml:space="preserve">简介</w:t>
      </w:r>
      <w:bookmarkEnd w:id="21"/>
    </w:p>
    <w:p>
      <w:pPr>
        <w:pStyle w:val="FirstParagraph"/>
      </w:pPr>
      <w:r>
        <w:t xml:space="preserve">深交所将于2020年起暂免收取上市基金相关费用；银保监会修订人身保险有关精算规定；银保监会明确保险公司相互代理规则；《关于促进新型研发机构发展的指导意见》给予科技类民办非企业单位税收优惠</w:t>
      </w:r>
    </w:p>
    <w:p>
      <w:pPr>
        <w:pStyle w:val="Heading2"/>
      </w:pPr>
      <w:bookmarkStart w:id="22" w:name="资本市场"/>
      <w:r>
        <w:t xml:space="preserve">资本市场</w:t>
      </w:r>
      <w:bookmarkEnd w:id="22"/>
    </w:p>
    <w:p>
      <w:pPr>
        <w:pStyle w:val="Heading3"/>
      </w:pPr>
      <w:bookmarkStart w:id="23" w:name="深交所将于2020年起暂免收取上市基金相关费用"/>
      <w:r>
        <w:t xml:space="preserve">深交所将于2020年起暂免收取上市基金相关费用</w:t>
      </w:r>
      <w:bookmarkEnd w:id="23"/>
    </w:p>
    <w:p>
      <w:pPr>
        <w:pStyle w:val="FirstParagraph"/>
      </w:pPr>
      <w:r>
        <w:t xml:space="preserve">近日，深交所发布关于暂免收取上市基金相关费用的通知。通知指出，为降低市场成本，促进基金市场发展，经研究决定，自本通知发布之日起，深交所暂免收取ETF上市初费、流动性服务商为上市基金提供流动性服务产生的交易单元流量费；自2020年1月1日起，深交所暂免收取ETF上市月费。</w:t>
      </w:r>
    </w:p>
    <w:p>
      <w:pPr>
        <w:pStyle w:val="TextBody"/>
      </w:pPr>
      <w:hyperlink r:id="rId24">
        <w:r>
          <w:rPr>
            <w:rStyle w:val="Hyperlink"/>
          </w:rPr>
          <w:t xml:space="preserve">http://news.cnstock.com/news,bwkx-201909-4430217.htm</w:t>
        </w:r>
      </w:hyperlink>
    </w:p>
    <w:p>
      <w:pPr>
        <w:pStyle w:val="Heading3"/>
      </w:pPr>
      <w:bookmarkStart w:id="25" w:name="上海推出促外商投资26条支持外资企业依法依规上市"/>
      <w:r>
        <w:t xml:space="preserve">上海推出促外商投资26条，支持外资企业依法依规上市</w:t>
      </w:r>
      <w:bookmarkEnd w:id="25"/>
    </w:p>
    <w:p>
      <w:pPr>
        <w:pStyle w:val="FirstParagraph"/>
      </w:pPr>
      <w:r>
        <w:t xml:space="preserve">2019年9月18日，上海市政府发布《关于本市进一步促进外商投资的若干意见》（下称《若干意见》），以进一步扩大对外开放。</w:t>
      </w:r>
    </w:p>
    <w:p>
      <w:pPr>
        <w:pStyle w:val="TextBody"/>
      </w:pPr>
      <w:r>
        <w:t xml:space="preserve">《若干意见》主要分为三个部分，分别为：进一步扩大对外开放，进一步吸引外商投资，进一步保护外商合法权益。共26条措施。</w:t>
      </w:r>
    </w:p>
    <w:p>
      <w:pPr>
        <w:pStyle w:val="TextBody"/>
      </w:pPr>
      <w:r>
        <w:t xml:space="preserve">其中，《若干意见》为落实国家关于扩大金融业对外开放部署，提出放宽或取消金融机构外资股权比例等准入条件。同时，《若干意见》支持外商投资企业依法依规在主板、科创板、中小企业板上市，在新三板挂牌，以及发行公司债券等方式拓展融资渠道。</w:t>
      </w:r>
    </w:p>
    <w:p>
      <w:pPr>
        <w:pStyle w:val="TextBody"/>
      </w:pPr>
      <w:hyperlink r:id="rId26">
        <w:r>
          <w:rPr>
            <w:rStyle w:val="Hyperlink"/>
          </w:rPr>
          <w:t xml:space="preserve">http://news.cnstock.com/news,yw-201909-4432088.htm</w:t>
        </w:r>
      </w:hyperlink>
    </w:p>
    <w:p>
      <w:pPr>
        <w:pStyle w:val="Heading3"/>
      </w:pPr>
      <w:bookmarkStart w:id="27" w:name="月份债券市场共发行各类债券4.4万亿元"/>
      <w:r>
        <w:t xml:space="preserve">8月份债券市场共发行各类债券4.4万亿元</w:t>
      </w:r>
      <w:bookmarkEnd w:id="27"/>
    </w:p>
    <w:p>
      <w:pPr>
        <w:pStyle w:val="FirstParagraph"/>
      </w:pPr>
      <w:r>
        <w:t xml:space="preserve">人民银行发布2019年8月份金融市场运行情况。</w:t>
      </w:r>
    </w:p>
    <w:p>
      <w:pPr>
        <w:pStyle w:val="TextBody"/>
      </w:pPr>
      <w:r>
        <w:t xml:space="preserve">8月份债券市场共发行各类债券4.4万亿元，其中，国债发4244.4亿元，地方政府债券发行5694.7亿元，金融债券发行6054.5亿元，公司信用类债券发行8966.3亿元，资产支持证券发行818.4亿元，同业存单发行1.7万亿元。截至8月末，债券市场托管余额为95.1万亿元。货币市场运行情况方面，8月份，银行间货币市场成交共计82.8万亿元。利率方面，8月份，同业拆借月加权平均利率为2.65%，较上月上行57个基点；质押式回购月加权平均利率为2.65%，较上月上行50个基点。8月银行间债券市场现券成交20.1万亿元，日均成交9118.7亿元。交易所债券市场现券成交7513.1亿元，日均成交341.5亿元。8月末，银行间债券总指数为194.92点，较上月末上涨1.19点。</w:t>
      </w:r>
    </w:p>
    <w:p>
      <w:pPr>
        <w:pStyle w:val="TextBody"/>
      </w:pPr>
      <w:hyperlink r:id="rId28">
        <w:r>
          <w:rPr>
            <w:rStyle w:val="Hyperlink"/>
          </w:rPr>
          <w:t xml:space="preserve">http://news.cnstock.com/news,bwkx-201909-4431383.htm</w:t>
        </w:r>
      </w:hyperlink>
    </w:p>
    <w:p>
      <w:pPr>
        <w:pStyle w:val="Heading3"/>
      </w:pPr>
      <w:bookmarkStart w:id="29" w:name="二季度信托资产规模达22.53万亿元"/>
      <w:r>
        <w:t xml:space="preserve">二季度信托资产规模达22.53万亿元</w:t>
      </w:r>
      <w:bookmarkEnd w:id="29"/>
    </w:p>
    <w:p>
      <w:pPr>
        <w:pStyle w:val="FirstParagraph"/>
      </w:pPr>
      <w:r>
        <w:t xml:space="preserve">中国信托业协会9月18日发布2019年二季度末我国信托业运行情况。信托资产规模为22.53万亿元，较上季度末下降0.02%，降幅进一步缩窄。二季度，信托业实现经营收入292.37亿元，同比增加8.30%；利润总额为189.99亿元，同比下降1.24%，增速较前季度明显回落。</w:t>
      </w:r>
    </w:p>
    <w:p>
      <w:pPr>
        <w:pStyle w:val="TextBody"/>
      </w:pPr>
      <w:r>
        <w:t xml:space="preserve">从信托资金的投向来看，投向工商企业的信托资金占比依然稳居榜首，其后依次为房地产、基础产业、金融机构、证券投资等。截至二季度末，投向房地产的信托资金余额2.93万亿元，占比15.38%，较2019年一季度末上升0.63个百分点。</w:t>
      </w:r>
    </w:p>
    <w:p>
      <w:pPr>
        <w:pStyle w:val="TextBody"/>
      </w:pPr>
      <w:hyperlink r:id="rId30">
        <w:r>
          <w:rPr>
            <w:rStyle w:val="Hyperlink"/>
          </w:rPr>
          <w:t xml:space="preserve">http://www.xinhuanet.com/money/2019-09/19/c_1125012682.htm</w:t>
        </w:r>
      </w:hyperlink>
    </w:p>
    <w:p>
      <w:pPr>
        <w:pStyle w:val="Heading2"/>
      </w:pPr>
      <w:bookmarkStart w:id="31" w:name="保险"/>
      <w:r>
        <w:t xml:space="preserve">保险</w:t>
      </w:r>
      <w:bookmarkEnd w:id="31"/>
    </w:p>
    <w:p>
      <w:pPr>
        <w:pStyle w:val="Heading3"/>
      </w:pPr>
      <w:bookmarkStart w:id="32" w:name="银保监会修订人身保险有关精算规定"/>
      <w:r>
        <w:t xml:space="preserve">银保监会修订人身保险有关精算规定</w:t>
      </w:r>
      <w:bookmarkEnd w:id="32"/>
    </w:p>
    <w:p>
      <w:pPr>
        <w:pStyle w:val="FirstParagraph"/>
      </w:pPr>
      <w:r>
        <w:t xml:space="preserve">近日，中国银保监会对人身险有关精算规定进行了修改并征求意见。本次修改主要包括三个方面：一是制定《普通型人身保险精算规定》，二是进一步规范分红险红利分配演示机制，三是调整了人身险公司数据报送中有关季度负债业务信息表的内容。</w:t>
      </w:r>
    </w:p>
    <w:p>
      <w:pPr>
        <w:pStyle w:val="TextBody"/>
      </w:pPr>
      <w:r>
        <w:t xml:space="preserve">本次修订的《普通型人身保险精算规定》对附加费用率水平进行了调整，定期寿险、终身寿险等附加费用率有所提高，年金险的附加费用率有所降低；补充了健康保险相关规定，在责任准备金部分新增对健康保险评估假设的相关要求；补充了保证续保产品相关精算规定，要求保证续保产品在提取未到期责任准备金外，还需要计提保证责任的额外责任准备金；本次修订还进一步规范了分红险红利分配演示机制。</w:t>
      </w:r>
    </w:p>
    <w:p>
      <w:pPr>
        <w:pStyle w:val="TextBody"/>
      </w:pPr>
      <w:hyperlink r:id="rId33">
        <w:r>
          <w:rPr>
            <w:rStyle w:val="Hyperlink"/>
          </w:rPr>
          <w:t xml:space="preserve">http://xw.sinoins.com/2019-09/18/content_305061.htm</w:t>
        </w:r>
      </w:hyperlink>
    </w:p>
    <w:p>
      <w:pPr>
        <w:pStyle w:val="Heading3"/>
      </w:pPr>
      <w:bookmarkStart w:id="34" w:name="银保监会明确保险公司相互代理规则"/>
      <w:r>
        <w:t xml:space="preserve">银保监会明确保险公司相互代理规则</w:t>
      </w:r>
      <w:bookmarkEnd w:id="34"/>
    </w:p>
    <w:p>
      <w:pPr>
        <w:pStyle w:val="FirstParagraph"/>
      </w:pPr>
      <w:r>
        <w:t xml:space="preserve">银保监会中介部本周向各银保监局、各保险公司下发《关于做好保险公司相互代理有关工作的通知》（下称《通知》），明确了保险公司相互代理的具体要求。</w:t>
      </w:r>
    </w:p>
    <w:p>
      <w:pPr>
        <w:pStyle w:val="TextBody"/>
      </w:pPr>
      <w:r>
        <w:t xml:space="preserve">保险公司相互代理是保险兼业代理的组成部分，是保险公司重要的销售渠道。《通知》规定，保险公司代理其他保险公司保险业务，应当由法人机构报银保监会核准，分支机构在法人机构授权下开展相互代理业务。经银保监会核准后，保险公司到其法人机构所在地银保监局领取保险兼业代理业务许可证。</w:t>
      </w:r>
    </w:p>
    <w:p>
      <w:pPr>
        <w:pStyle w:val="TextBody"/>
      </w:pPr>
      <w:r>
        <w:t xml:space="preserve">《通知》强调，《中国银保监会办公厅关于印发〈商业银行代理保险业务管理办法〉的通知》（银保监办发〔2019〕179号）实施后，《关于银行类保险兼业代理机构行政许可有关事项的通知》（保监中介〔2016〕44号）将同时废止。各银保监局应当按照上述要求做好衔接工作。</w:t>
      </w:r>
    </w:p>
    <w:p>
      <w:pPr>
        <w:pStyle w:val="TextBody"/>
      </w:pPr>
      <w:hyperlink r:id="rId35">
        <w:r>
          <w:rPr>
            <w:rStyle w:val="Hyperlink"/>
          </w:rPr>
          <w:t xml:space="preserve">http://news.cnstock.com/news,bwkx-201909-4431672.htm</w:t>
        </w:r>
      </w:hyperlink>
    </w:p>
    <w:p>
      <w:pPr>
        <w:pStyle w:val="Heading3"/>
      </w:pPr>
      <w:bookmarkStart w:id="36" w:name="银保监会拟将人身险保单电子化回访向全国推开"/>
      <w:r>
        <w:t xml:space="preserve">银保监会拟将人身险保单电子化回访向全国推开</w:t>
      </w:r>
      <w:bookmarkEnd w:id="36"/>
    </w:p>
    <w:p>
      <w:pPr>
        <w:pStyle w:val="FirstParagraph"/>
      </w:pPr>
      <w:r>
        <w:t xml:space="preserve">银保监会拟在结合部分地区前期试点工作情况的基础上，将人身险保单电子化回访向全国推开。银保监会已起草《关于规范开展人身保险电子化回访工作的通知》，目前正在业内征求意见。</w:t>
      </w:r>
    </w:p>
    <w:p>
      <w:pPr>
        <w:pStyle w:val="TextBody"/>
      </w:pPr>
      <w:r>
        <w:t xml:space="preserve">人身保险新单业务电子化回访是保险公司在保单犹豫期内，依托移动互联网等技术，对投保人验证客户身份真实性，确认投保人知悉合同主要内容和犹豫期等相关权利的回访。</w:t>
      </w:r>
    </w:p>
    <w:p>
      <w:pPr>
        <w:pStyle w:val="TextBody"/>
      </w:pPr>
      <w:r>
        <w:t xml:space="preserve">根据征求意见稿要求，保险公司开展电子化回访，应具备相应的经营管理水平和技术支持能力，充分考虑投保人对电子化方式的接受程度，确保风险可控、保护消费者合法权益。保险公司开展电子化回访，应统一制定管理制度，内容包括电子档案管理制度、回访质量抽检制度、问题件处理制度、客户纠纷处理制度、内部责任追究制度等。</w:t>
      </w:r>
    </w:p>
    <w:p>
      <w:pPr>
        <w:pStyle w:val="TextBody"/>
      </w:pPr>
      <w:hyperlink r:id="rId37">
        <w:r>
          <w:rPr>
            <w:rStyle w:val="Hyperlink"/>
          </w:rPr>
          <w:t xml:space="preserve">http://news.cnstock.com/news,bwkx-201909-4432220.htm</w:t>
        </w:r>
      </w:hyperlink>
    </w:p>
    <w:p>
      <w:pPr>
        <w:pStyle w:val="Heading2"/>
      </w:pPr>
      <w:bookmarkStart w:id="38" w:name="税收"/>
      <w:r>
        <w:t xml:space="preserve">税收</w:t>
      </w:r>
      <w:bookmarkEnd w:id="38"/>
    </w:p>
    <w:p>
      <w:pPr>
        <w:pStyle w:val="Heading3"/>
      </w:pPr>
      <w:bookmarkStart w:id="39" w:name="关于促进新型研发机构发展的指导意见给予科技类民办非企业单位税收优惠"/>
      <w:r>
        <w:t xml:space="preserve">《关于促进新型研发机构发展的指导意见》给予科技类民办非企业单位税收优惠</w:t>
      </w:r>
      <w:bookmarkEnd w:id="39"/>
    </w:p>
    <w:p>
      <w:pPr>
        <w:pStyle w:val="FirstParagraph"/>
      </w:pPr>
      <w:r>
        <w:t xml:space="preserve">为深入实施创新驱动发展战略，推动新型研发机构健康有序发展，提升国家创新体系整体效能，科技部制定了《关于促进新型研发机构发展的指导意见》（下简称《意见》）。</w:t>
      </w:r>
    </w:p>
    <w:p>
      <w:pPr>
        <w:pStyle w:val="TextBody"/>
      </w:pPr>
      <w:r>
        <w:t xml:space="preserve">《意见》指出，鼓励设立科技类民办非企业单位（社会服务机构）性质的新型研发机构。科技类民办非企业单位应依法进行登记管理。符合条件的科技类民办非企业单位，按照《中华人民共和国企业所得税法》、《中华人民共和国企业所得税法实施条例》以及非营利组织企业所得税、职务科技成果转化个人所得税、科技创新进口税收等规定，享受税收优惠。</w:t>
      </w:r>
    </w:p>
    <w:p>
      <w:pPr>
        <w:pStyle w:val="TextBody"/>
      </w:pPr>
      <w:hyperlink r:id="rId40">
        <w:r>
          <w:rPr>
            <w:rStyle w:val="Hyperlink"/>
          </w:rPr>
          <w:t xml:space="preserve">http://news.cnstock.com/news,bwkx-201909-4431166.htm</w:t>
        </w:r>
      </w:hyperlink>
    </w:p>
    <w:p>
      <w:pPr>
        <w:pStyle w:val="Heading3"/>
      </w:pPr>
      <w:bookmarkStart w:id="41" w:name="今年前8月全国一般公共预算收入同比增长3.2"/>
      <w:r>
        <w:t xml:space="preserve">今年前8月全国一般公共预算收入同比增长3.2%</w:t>
      </w:r>
      <w:bookmarkEnd w:id="41"/>
    </w:p>
    <w:p>
      <w:pPr>
        <w:pStyle w:val="FirstParagraph"/>
      </w:pPr>
      <w:r>
        <w:t xml:space="preserve">财政部2019年9月17日发布的最新数据。今年1-8月累计，全国一般公共预算收入137061亿元，同比增长3.2%。其中，全国税收收入117134亿元，同比下降0.1%；非税收入19927亿元，同比增长27.3%。</w:t>
      </w:r>
    </w:p>
    <w:p>
      <w:pPr>
        <w:pStyle w:val="TextBody"/>
      </w:pPr>
      <w:r>
        <w:t xml:space="preserve">数据还显示，前8月国内增值税44908亿元，同比增长4.7%。个人所得税7212亿元，同比下降30.1%。印花税1780亿元，同比增长6.7%。其中，证券交易印花税960亿元，同比增长15.8%。环境保护税167亿元，同比增长69.8%。</w:t>
      </w:r>
    </w:p>
    <w:p>
      <w:pPr>
        <w:pStyle w:val="TextBody"/>
      </w:pPr>
      <w:hyperlink r:id="rId42">
        <w:r>
          <w:rPr>
            <w:rStyle w:val="Hyperlink"/>
          </w:rPr>
          <w:t xml:space="preserve">http://news.cnstock.com/news,bwkx-201909-4431353.htm</w:t>
        </w:r>
      </w:hyperlink>
    </w:p>
    <w:p>
      <w:pPr>
        <w:pStyle w:val="Heading2"/>
      </w:pPr>
      <w:bookmarkStart w:id="43" w:name="知产"/>
      <w:r>
        <w:t xml:space="preserve">知产</w:t>
      </w:r>
      <w:bookmarkEnd w:id="43"/>
    </w:p>
    <w:p>
      <w:pPr>
        <w:pStyle w:val="Heading3"/>
      </w:pPr>
      <w:bookmarkStart w:id="44" w:name="第21届工博会开幕"/>
      <w:r>
        <w:t xml:space="preserve">第21届工博会开幕</w:t>
      </w:r>
      <w:bookmarkEnd w:id="44"/>
    </w:p>
    <w:p>
      <w:pPr>
        <w:pStyle w:val="FirstParagraph"/>
      </w:pPr>
      <w:r>
        <w:t xml:space="preserve">第21届中国国际工业博览会2019年9月17日在上海国家会展中心开幕，来自27个国家和地区的2600多家企业携新产品新技术亮相，100余款尖端技术和产品首发，涉及人工智能、机床、自动化、机器人、工业互联网、数字化工厂等领域。</w:t>
      </w:r>
    </w:p>
    <w:p>
      <w:pPr>
        <w:pStyle w:val="TextBody"/>
      </w:pPr>
      <w:hyperlink r:id="rId45">
        <w:r>
          <w:rPr>
            <w:rStyle w:val="Hyperlink"/>
          </w:rPr>
          <w:t xml:space="preserve">http://news.cnstock.com/industry,rdjj-201909-4431569.htm</w:t>
        </w:r>
      </w:hyperlink>
    </w:p>
    <w:p>
      <w:pPr>
        <w:pStyle w:val="Heading3"/>
      </w:pPr>
      <w:bookmarkStart w:id="46" w:name="我国研制出时速400公里永磁高铁电机"/>
      <w:r>
        <w:t xml:space="preserve">我国研制出时速400公里“永磁高铁”电机</w:t>
      </w:r>
      <w:bookmarkEnd w:id="46"/>
    </w:p>
    <w:p>
      <w:pPr>
        <w:pStyle w:val="FirstParagraph"/>
      </w:pPr>
      <w:r>
        <w:t xml:space="preserve">2019年9月17日中车株洲电机公司发布了时速400公里高速动车组用TQ-800永磁同步牵引电机。这标志着我国高铁动力首次搭建起时速400公里速度等级的永磁牵引电机产品技术平台，填补了国内技术空白，为我国轨道交通牵引传动技术升级换代奠定了坚实基础。</w:t>
      </w:r>
    </w:p>
    <w:p>
      <w:pPr>
        <w:pStyle w:val="TextBody"/>
      </w:pPr>
      <w:r>
        <w:t xml:space="preserve">这款永磁同步牵引电机的各项性能指标达到国际先进水平，将用于驱动我国重点研发项目——时速400公里跨国互联互通高速列车。</w:t>
      </w:r>
    </w:p>
    <w:p>
      <w:pPr>
        <w:pStyle w:val="TextBody"/>
      </w:pPr>
      <w:hyperlink r:id="rId47">
        <w:r>
          <w:rPr>
            <w:rStyle w:val="Hyperlink"/>
          </w:rPr>
          <w:t xml:space="preserve">http://news.cnstock.com/news,bwkx-201909-4431322.htm</w:t>
        </w:r>
      </w:hyperlink>
    </w:p>
    <w:p>
      <w:pPr>
        <w:pStyle w:val="Heading2"/>
      </w:pPr>
      <w:bookmarkStart w:id="48" w:name="行业"/>
      <w:r>
        <w:t xml:space="preserve">行业</w:t>
      </w:r>
      <w:bookmarkEnd w:id="48"/>
    </w:p>
    <w:p>
      <w:pPr>
        <w:pStyle w:val="Heading3"/>
      </w:pPr>
      <w:bookmarkStart w:id="49" w:name="我国建立健全企业家参与涉企政策制定机制"/>
      <w:r>
        <w:t xml:space="preserve">我国建立健全企业家参与涉企政策制定机制</w:t>
      </w:r>
      <w:bookmarkEnd w:id="49"/>
    </w:p>
    <w:p>
      <w:pPr>
        <w:pStyle w:val="FirstParagraph"/>
      </w:pPr>
      <w:r>
        <w:t xml:space="preserve">经国务院同意，国家发改委近日印发《关于建立健全企业家参与涉企政策制定机制的实施意见》，对企业家参与涉企政策制定提出机制性规范性要求。</w:t>
      </w:r>
    </w:p>
    <w:p>
      <w:pPr>
        <w:pStyle w:val="TextBody"/>
      </w:pPr>
      <w:r>
        <w:t xml:space="preserve">意见明确了分类听取意见建议的规范性要求，指出研究制定对企业切身利益或者权利义务有重大影响、影响企业生产经营的专项政策，起草部门应充分听取企业家的意见建议；研究制定经济社会发展重大战略、重大规划、重大改革、重大政策、重大项目，除依法需要保密和重要敏感事项外，牵头部门应通过适当形式、在一定范围听取企业家意见建议。</w:t>
      </w:r>
    </w:p>
    <w:p>
      <w:pPr>
        <w:pStyle w:val="TextBody"/>
      </w:pPr>
      <w:hyperlink r:id="rId50">
        <w:r>
          <w:rPr>
            <w:rStyle w:val="Hyperlink"/>
          </w:rPr>
          <w:t xml:space="preserve">http://news.cnstock.com/news,bwkx-197001-4431460.htm</w:t>
        </w:r>
      </w:hyperlink>
    </w:p>
    <w:p>
      <w:pPr>
        <w:pStyle w:val="Heading3"/>
      </w:pPr>
      <w:bookmarkStart w:id="51" w:name="世界智能网联汽车大会召开并发放首批智能网联汽车示范应用牌照"/>
      <w:r>
        <w:t xml:space="preserve">2019世界智能网联汽车大会召开并发放首批智能网联汽车示范应用牌照</w:t>
      </w:r>
      <w:bookmarkEnd w:id="51"/>
    </w:p>
    <w:p>
      <w:pPr>
        <w:pStyle w:val="FirstParagraph"/>
      </w:pPr>
      <w:r>
        <w:t xml:space="preserve">由上海市人民政府、工业和信息化部共同主办的2019世界智能网联汽车大会于9月16日至17日在上海举行。上海成为国内首个为企业颁发智能网联汽车示范应用牌照的城市。上汽、宝马、滴滴获得首批智能网联汽车示范应用牌照，获得示范应用牌照的企业可先行在城市道路中开展示范应用，探索智能网联汽车的商业化运营。同时，全国首批长三角测试牌照推出，浙江吉利、安徽江淮、江苏中智行首批获得测试牌照。</w:t>
      </w:r>
    </w:p>
    <w:p>
      <w:pPr>
        <w:pStyle w:val="TextBody"/>
      </w:pPr>
      <w:r>
        <w:t xml:space="preserve">最新颁布的《上海市智能网联汽车道路测试和示范应用管理办法（试行）》中规定，首次申请示范应用车辆最多可达50辆，满6个月且运行良好还可追加，产业的最终目的还是要走向规模化应用，扩大受益的群体。</w:t>
      </w:r>
    </w:p>
    <w:p>
      <w:pPr>
        <w:pStyle w:val="TextBody"/>
      </w:pPr>
      <w:hyperlink r:id="rId52">
        <w:r>
          <w:rPr>
            <w:rStyle w:val="Hyperlink"/>
          </w:rPr>
          <w:t xml:space="preserve">http://news.cnstock.com/theme,201909-4431012.htm</w:t>
        </w:r>
      </w:hyperlink>
    </w:p>
    <w:p>
      <w:pPr>
        <w:pStyle w:val="Heading3"/>
      </w:pPr>
      <w:bookmarkStart w:id="53" w:name="四部门印发关于支持建设博鳌乐城国际医疗旅游先行区的实施方案"/>
      <w:r>
        <w:t xml:space="preserve">四部门印发《关于支持建设博鳌乐城国际医疗旅游先行区的实施方案》</w:t>
      </w:r>
      <w:bookmarkEnd w:id="53"/>
    </w:p>
    <w:p>
      <w:pPr>
        <w:pStyle w:val="FirstParagraph"/>
      </w:pPr>
      <w:r>
        <w:t xml:space="preserve">2019年9月16日，国家发改委、国家卫健委、国家中医药局、国家药监局联合印发《关于支持建设博鳌乐城国际医疗旅游先行区的实施方案》（简称《实施方案》）的通知，以加快推进博鳌乐城国际医疗旅游先行区（简称“先行区”）发展。</w:t>
      </w:r>
    </w:p>
    <w:p>
      <w:pPr>
        <w:pStyle w:val="TextBody"/>
      </w:pPr>
      <w:r>
        <w:t xml:space="preserve">《实施方案》指出，将通过支持引进国内知名公立医疗卫生资源，引进和培育国际先进水平医疗机构，建设国家级医学教育科研交流基地，创建国家医药成果转移转化试点示范基地等方式，集聚发展高水平医疗服务机构及科研机构。同时，将大力发展优质医疗旅游服务，加快先行区药品、医疗器械进口审批，发展高端体检、特色康养等医疗健康产品服务。</w:t>
      </w:r>
    </w:p>
    <w:p>
      <w:pPr>
        <w:pStyle w:val="TextBody"/>
      </w:pPr>
      <w:hyperlink r:id="rId54">
        <w:r>
          <w:rPr>
            <w:rStyle w:val="Hyperlink"/>
          </w:rPr>
          <w:t xml:space="preserve">http://news.cnstock.com/news,bwkx-201909-4430846.htm</w:t>
        </w:r>
      </w:hyperlink>
    </w:p>
    <w:p>
      <w:pPr>
        <w:pStyle w:val="Heading2"/>
      </w:pPr>
      <w:bookmarkStart w:id="55" w:name="并购"/>
      <w:r>
        <w:t xml:space="preserve">并购</w:t>
      </w:r>
      <w:bookmarkEnd w:id="55"/>
    </w:p>
    <w:p>
      <w:pPr>
        <w:pStyle w:val="Heading3"/>
      </w:pPr>
      <w:bookmarkStart w:id="56" w:name="中车集团拟入主安凯客车"/>
      <w:r>
        <w:t xml:space="preserve">中车集团拟入主安凯客车</w:t>
      </w:r>
      <w:bookmarkEnd w:id="56"/>
    </w:p>
    <w:p>
      <w:pPr>
        <w:pStyle w:val="FirstParagraph"/>
      </w:pPr>
      <w:r>
        <w:t xml:space="preserve">江淮汽车、*ST安凯发布公告称，2019年9月16日，江淮汽车、安徽省投资集团与中车产业投资有限公司（简称“中车产投”）签署协议，拟分别向中车产投协议转让所持安凯客车约12.85%的股份、8.45%股份。协议转让完成后，江淮汽车将不再是安凯客车的控股股东，中车产投将成为新的控股股东。</w:t>
      </w:r>
    </w:p>
    <w:p>
      <w:pPr>
        <w:pStyle w:val="TextBody"/>
      </w:pPr>
      <w:r>
        <w:t xml:space="preserve">中车产投是中国中车集团公司的全资子公司，拥有南方汇通（上市公司）、株洲控股、中车环境、中车电动和中城交通5家次级投资平台，以及中车青岛新材料等直属业务单元。公开信息显示，2018年，中车产投总资产192.89亿元，实现营业收入84.53亿元、净利润4.24亿元。</w:t>
      </w:r>
    </w:p>
    <w:p>
      <w:pPr>
        <w:pStyle w:val="TextBody"/>
      </w:pPr>
      <w:r>
        <w:t xml:space="preserve">据转让协议，2020年1月31日之前，由中车产投或指定的关联方通过非公开协议转让方式，购买安凯客车约21.30%的股份，其中从江淮汽车购买的比例约为12.85%，从安徽省投资集团购买的比例约为8.45%。</w:t>
      </w:r>
    </w:p>
    <w:p>
      <w:pPr>
        <w:pStyle w:val="TextBody"/>
      </w:pPr>
      <w:r>
        <w:t xml:space="preserve">本次交易的最终价格以最终版交易文件所记载且经国有资产监督管理机构审批确定的价格为准。股权协议转让完成后，中车产投将成为安凯客车的控股股东，江淮汽车、安徽省投资集团将分别持有安凯客车约12.35%的股份、约8.12%的股份，为第二、第三大股东。</w:t>
      </w:r>
    </w:p>
    <w:p>
      <w:pPr>
        <w:pStyle w:val="TextBody"/>
      </w:pPr>
      <w:hyperlink r:id="rId57">
        <w:r>
          <w:rPr>
            <w:rStyle w:val="Hyperlink"/>
          </w:rPr>
          <w:t xml:space="preserve">http://news.cnstock.com/news,bwkx-201909-4431150.htm</w:t>
        </w:r>
      </w:hyperlink>
    </w:p>
    <w:p>
      <w:pPr>
        <w:pStyle w:val="Heading3"/>
      </w:pPr>
      <w:bookmarkStart w:id="58" w:name="蒙牛乳业拟溢价52全购澳洲上市乳企贝拉米"/>
      <w:r>
        <w:t xml:space="preserve">蒙牛乳业拟溢价52%全购澳洲上市乳企贝拉米</w:t>
      </w:r>
      <w:bookmarkEnd w:id="58"/>
    </w:p>
    <w:p>
      <w:pPr>
        <w:pStyle w:val="FirstParagraph"/>
      </w:pPr>
      <w:r>
        <w:t xml:space="preserve">2019年9月16日上午，在港股上市的蒙牛乳业发布公告称，将以每股12.65澳元，总价不超过14.6亿澳元（约78.6亿港元），收购贝拉米全部股权。蒙牛已与贝拉米订立《计划实施契据》，预期以内部资金结合银行融资的方式，为此次收购交易提供资金。贝拉米将于交割时成为蒙牛乳业的间接全资附属公司，其业绩与资产负债将在公司账目内综合入账。上述收购价格较贝拉米上周五收盘价8.32澳元溢价52%。</w:t>
      </w:r>
    </w:p>
    <w:p>
      <w:pPr>
        <w:pStyle w:val="TextBody"/>
      </w:pPr>
      <w:r>
        <w:t xml:space="preserve">贝拉米是澳洲品牌，成立于2004年，主要从事有机婴幼儿配方奶粉和婴幼儿食品的销售业务。截至2019年6月30日止财年，贝拉米收入为2.7亿澳元（折合人民币约13.17亿元）；经审核税后纯利为2170万澳元（折合人民币约1.06亿元），较2018年同期减少了约49.3%。而贝拉米至今未获得中国的婴幼儿奶粉的配方注册。2019财年报告期内，贝拉米中文标签奶粉销量为零。</w:t>
      </w:r>
    </w:p>
    <w:p>
      <w:pPr>
        <w:pStyle w:val="TextBody"/>
      </w:pPr>
      <w:r>
        <w:t xml:space="preserve">截至9月16日收盘，蒙牛乳业总市值达1185.63亿港元，折合人民币约1072亿元。</w:t>
      </w:r>
    </w:p>
    <w:p>
      <w:pPr>
        <w:pStyle w:val="TextBody"/>
      </w:pPr>
      <w:r>
        <w:t xml:space="preserve">受此消息影响，9月16日，在澳洲证交所上市的贝拉米股价大涨逾54%。然而，蒙牛乳业股价走势一度跌4%。</w:t>
      </w:r>
    </w:p>
    <w:p>
      <w:pPr>
        <w:pStyle w:val="TextBody"/>
      </w:pPr>
      <w:hyperlink r:id="rId59">
        <w:r>
          <w:rPr>
            <w:rStyle w:val="Hyperlink"/>
          </w:rPr>
          <w:t xml:space="preserve">http://company.cnstock.com/company/scp_gsxw/201909/4431006.htm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- 2019年9月20日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ba88eb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9" Type="http://schemas.openxmlformats.org/officeDocument/2006/relationships/hyperlink" Target="http://company.cnstock.com/company/scp_gsxw/201909/4431006.htm" TargetMode="External"/><Relationship Id="rId45" Type="http://schemas.openxmlformats.org/officeDocument/2006/relationships/hyperlink" Target="http://news.cnstock.com/industry,rdjj-201909-4431569.htm" TargetMode="External"/><Relationship Id="rId50" Type="http://schemas.openxmlformats.org/officeDocument/2006/relationships/hyperlink" Target="http://news.cnstock.com/news,bwkx-197001-4431460.htm" TargetMode="External"/><Relationship Id="rId24" Type="http://schemas.openxmlformats.org/officeDocument/2006/relationships/hyperlink" Target="http://news.cnstock.com/news,bwkx-201909-4430217.htm" TargetMode="External"/><Relationship Id="rId54" Type="http://schemas.openxmlformats.org/officeDocument/2006/relationships/hyperlink" Target="http://news.cnstock.com/news,bwkx-201909-4430846.htm" TargetMode="External"/><Relationship Id="rId57" Type="http://schemas.openxmlformats.org/officeDocument/2006/relationships/hyperlink" Target="http://news.cnstock.com/news,bwkx-201909-4431150.htm" TargetMode="External"/><Relationship Id="rId40" Type="http://schemas.openxmlformats.org/officeDocument/2006/relationships/hyperlink" Target="http://news.cnstock.com/news,bwkx-201909-4431166.htm" TargetMode="External"/><Relationship Id="rId47" Type="http://schemas.openxmlformats.org/officeDocument/2006/relationships/hyperlink" Target="http://news.cnstock.com/news,bwkx-201909-4431322.htm" TargetMode="External"/><Relationship Id="rId42" Type="http://schemas.openxmlformats.org/officeDocument/2006/relationships/hyperlink" Target="http://news.cnstock.com/news,bwkx-201909-4431353.htm" TargetMode="External"/><Relationship Id="rId28" Type="http://schemas.openxmlformats.org/officeDocument/2006/relationships/hyperlink" Target="http://news.cnstock.com/news,bwkx-201909-4431383.htm" TargetMode="External"/><Relationship Id="rId35" Type="http://schemas.openxmlformats.org/officeDocument/2006/relationships/hyperlink" Target="http://news.cnstock.com/news,bwkx-201909-4431672.htm" TargetMode="External"/><Relationship Id="rId37" Type="http://schemas.openxmlformats.org/officeDocument/2006/relationships/hyperlink" Target="http://news.cnstock.com/news,bwkx-201909-4432220.htm" TargetMode="External"/><Relationship Id="rId26" Type="http://schemas.openxmlformats.org/officeDocument/2006/relationships/hyperlink" Target="http://news.cnstock.com/news,yw-201909-4432088.htm" TargetMode="External"/><Relationship Id="rId52" Type="http://schemas.openxmlformats.org/officeDocument/2006/relationships/hyperlink" Target="http://news.cnstock.com/theme,201909-4431012.htm" TargetMode="External"/><Relationship Id="rId30" Type="http://schemas.openxmlformats.org/officeDocument/2006/relationships/hyperlink" Target="http://www.xinhuanet.com/money/2019-09/19/c_1125012682.htm" TargetMode="External"/><Relationship Id="rId33" Type="http://schemas.openxmlformats.org/officeDocument/2006/relationships/hyperlink" Target="http://xw.sinoins.com/2019-09/18/content_305061.htm" TargetMode="External"/><Relationship Id="rId9" Type="http://schemas.openxmlformats.org/officeDocument/2006/relationships/hyperlink" Target="http://www.charltonslaw.com.cn/shen-jiao-suo-jiang-yu-2020-nian-qi-zan-mian-shou-qu-shang-shi-ji-jin-xiang-guan-fei-yo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9" Type="http://schemas.openxmlformats.org/officeDocument/2006/relationships/hyperlink" Target="http://company.cnstock.com/company/scp_gsxw/201909/4431006.htm" TargetMode="External"/><Relationship Id="rId45" Type="http://schemas.openxmlformats.org/officeDocument/2006/relationships/hyperlink" Target="http://news.cnstock.com/industry,rdjj-201909-4431569.htm" TargetMode="External"/><Relationship Id="rId50" Type="http://schemas.openxmlformats.org/officeDocument/2006/relationships/hyperlink" Target="http://news.cnstock.com/news,bwkx-197001-4431460.htm" TargetMode="External"/><Relationship Id="rId24" Type="http://schemas.openxmlformats.org/officeDocument/2006/relationships/hyperlink" Target="http://news.cnstock.com/news,bwkx-201909-4430217.htm" TargetMode="External"/><Relationship Id="rId54" Type="http://schemas.openxmlformats.org/officeDocument/2006/relationships/hyperlink" Target="http://news.cnstock.com/news,bwkx-201909-4430846.htm" TargetMode="External"/><Relationship Id="rId57" Type="http://schemas.openxmlformats.org/officeDocument/2006/relationships/hyperlink" Target="http://news.cnstock.com/news,bwkx-201909-4431150.htm" TargetMode="External"/><Relationship Id="rId40" Type="http://schemas.openxmlformats.org/officeDocument/2006/relationships/hyperlink" Target="http://news.cnstock.com/news,bwkx-201909-4431166.htm" TargetMode="External"/><Relationship Id="rId47" Type="http://schemas.openxmlformats.org/officeDocument/2006/relationships/hyperlink" Target="http://news.cnstock.com/news,bwkx-201909-4431322.htm" TargetMode="External"/><Relationship Id="rId42" Type="http://schemas.openxmlformats.org/officeDocument/2006/relationships/hyperlink" Target="http://news.cnstock.com/news,bwkx-201909-4431353.htm" TargetMode="External"/><Relationship Id="rId28" Type="http://schemas.openxmlformats.org/officeDocument/2006/relationships/hyperlink" Target="http://news.cnstock.com/news,bwkx-201909-4431383.htm" TargetMode="External"/><Relationship Id="rId35" Type="http://schemas.openxmlformats.org/officeDocument/2006/relationships/hyperlink" Target="http://news.cnstock.com/news,bwkx-201909-4431672.htm" TargetMode="External"/><Relationship Id="rId37" Type="http://schemas.openxmlformats.org/officeDocument/2006/relationships/hyperlink" Target="http://news.cnstock.com/news,bwkx-201909-4432220.htm" TargetMode="External"/><Relationship Id="rId26" Type="http://schemas.openxmlformats.org/officeDocument/2006/relationships/hyperlink" Target="http://news.cnstock.com/news,yw-201909-4432088.htm" TargetMode="External"/><Relationship Id="rId52" Type="http://schemas.openxmlformats.org/officeDocument/2006/relationships/hyperlink" Target="http://news.cnstock.com/theme,201909-4431012.htm" TargetMode="External"/><Relationship Id="rId30" Type="http://schemas.openxmlformats.org/officeDocument/2006/relationships/hyperlink" Target="http://www.xinhuanet.com/money/2019-09/19/c_1125012682.htm" TargetMode="External"/><Relationship Id="rId33" Type="http://schemas.openxmlformats.org/officeDocument/2006/relationships/hyperlink" Target="http://xw.sinoins.com/2019-09/18/content_3050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2019-09-19T10:09:43Z</dcterms:created>
  <dcterms:modified xsi:type="dcterms:W3CDTF">2019-09-19T10:09:43Z</dcterms:modified>
</cp:coreProperties>
</file>