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- 2019年9月27日</w:t>
      </w:r>
    </w:p>
    <w:p>
      <w:pPr>
        <w:pStyle w:val="ReadOnline"/>
      </w:pPr>
      <w:hyperlink r:id="rId9">
        <w:r>
          <w:rPr/>
          <w:t>online version</w:t>
        </w:r>
      </w:hyperlink>
    </w:p>
    <w:p>
      <w:pPr>
        <w:pStyle w:val="Title"/>
      </w:pPr>
      <w:r>
        <w:t>银保监会发布《商业银行理财子公司净资本管理办法（试行）（征求意见稿）》</w:t>
      </w:r>
    </w:p>
    <w:p>
      <w:pPr>
        <w:pStyle w:val="Heading2"/>
      </w:pPr>
      <w:bookmarkStart w:id="21" w:name="简介"/>
      <w:r>
        <w:t xml:space="preserve">简介</w:t>
      </w:r>
      <w:bookmarkEnd w:id="21"/>
    </w:p>
    <w:p>
      <w:pPr>
        <w:pStyle w:val="FirstParagraph"/>
      </w:pPr>
      <w:r>
        <w:t xml:space="preserve">银保监会发布《商业银行理财子公司净资本管理办法（试行）（征求意见稿）》；险企拟开展流动性风险测试</w:t>
      </w:r>
    </w:p>
    <w:p>
      <w:pPr>
        <w:pStyle w:val="Heading2"/>
      </w:pPr>
      <w:bookmarkStart w:id="22" w:name="资本市场"/>
      <w:r>
        <w:t xml:space="preserve">资本市场</w:t>
      </w:r>
      <w:bookmarkEnd w:id="22"/>
    </w:p>
    <w:p>
      <w:pPr>
        <w:pStyle w:val="Heading3"/>
      </w:pPr>
      <w:bookmarkStart w:id="23" w:name="银保监会发布商业银行理财子公司净资本管理办法试行征求意见稿"/>
      <w:r>
        <w:t xml:space="preserve">银保监会发布《商业银行理财子公司净资本管理办法（试行）（征求意见稿）》</w:t>
      </w:r>
      <w:bookmarkEnd w:id="23"/>
    </w:p>
    <w:p>
      <w:pPr>
        <w:pStyle w:val="FirstParagraph"/>
      </w:pPr>
      <w:r>
        <w:t xml:space="preserve">2019年9月20日，银保监会发布《商业银行理财子公司净资本管理办法（试行）（征求意见稿）》（下称征求意见稿），明确提出理财子公司净资本管理应当符合净资本不得低于5亿元人民币，且不得低于净资产的40%，以及净资本不得低于风险资本两方面标准，以确保理财子公司保持足够的净资本水平。银行理财子公司以自有资金投资的本公司理财产品，应当为全部投资于标准化资产的理财产品，不得投资于非标准化资产。理财业务对应的资本包括理财资金投资对应的资本和附加风险资本，以理财资金投资的各类资产余额乘以相应风险系数计算得出。</w:t>
      </w:r>
    </w:p>
    <w:p>
      <w:pPr>
        <w:pStyle w:val="TextBody"/>
      </w:pPr>
      <w:hyperlink r:id="rId24">
        <w:r>
          <w:rPr>
            <w:rStyle w:val="Hyperlink"/>
          </w:rPr>
          <w:t xml:space="preserve">http://www.xinhuanet.com/money/2019-09/23/c_1210288986.htm</w:t>
        </w:r>
      </w:hyperlink>
    </w:p>
    <w:p>
      <w:pPr>
        <w:pStyle w:val="Heading3"/>
      </w:pPr>
      <w:bookmarkStart w:id="25" w:name="上海市推进科创中心建设条例开始公开征求意见"/>
      <w:r>
        <w:t xml:space="preserve">上海市推进科创中心建设条例开始公开征求意见</w:t>
      </w:r>
      <w:bookmarkEnd w:id="25"/>
    </w:p>
    <w:p>
      <w:pPr>
        <w:pStyle w:val="FirstParagraph"/>
      </w:pPr>
      <w:r>
        <w:t xml:space="preserve">2019年9月25日，上海市人大常委会办公厅发布公告，就《上海市推进科技创新中心建设条例（草案）》（简称《草案》）公开征求意见。《草案》共分为十大章节，从创新主体、创新人才、科学研究与技术创新、产业创新与社会发展、金融支持、知识产权保护、环境建设、聚焦张江等多个方面，推进科技创新中心建设，支持和保障上海证券交易所设立科创板并试点注册制，鼓励符合条件的科技创新企业在科创板上市。《草案》支持科技创新企业在上海股权托管交易机构挂牌，并接受培训咨询、登记托管、债券融资、场外投行等资本市场培育服务。</w:t>
      </w:r>
    </w:p>
    <w:p>
      <w:pPr>
        <w:pStyle w:val="TextBody"/>
      </w:pPr>
      <w:r>
        <w:t xml:space="preserve">根据《草案》，金融支持方面涉及金融服务体系、创业投资、多层次资本市场、科技信贷等多个支持方向。在多层次资本市场方面，上海市将配合国家有关部门发展多层次资本市场和金融要素市场，拓宽科技创新企业直接融资渠道，支持符合条件的科技创新企业在多层次资本市场开展上市挂牌、发行债券、并购重组、再融资等活动。</w:t>
      </w:r>
    </w:p>
    <w:p>
      <w:pPr>
        <w:pStyle w:val="TextBody"/>
      </w:pPr>
      <w:hyperlink r:id="rId26">
        <w:r>
          <w:rPr>
            <w:rStyle w:val="Hyperlink"/>
          </w:rPr>
          <w:t xml:space="preserve">http://news.cnstock.com/news,bwkx-201909-4434362.htm</w:t>
        </w:r>
      </w:hyperlink>
    </w:p>
    <w:p>
      <w:pPr>
        <w:pStyle w:val="Heading3"/>
      </w:pPr>
      <w:bookmarkStart w:id="27" w:name="苯乙烯期货大商所挂牌上市"/>
      <w:r>
        <w:t xml:space="preserve">苯乙烯期货大商所挂牌上市</w:t>
      </w:r>
      <w:bookmarkEnd w:id="27"/>
    </w:p>
    <w:p>
      <w:pPr>
        <w:pStyle w:val="FirstParagraph"/>
      </w:pPr>
      <w:r>
        <w:t xml:space="preserve">苯乙烯期货于2019年9月26日在大连商品交易所挂牌交易，这是大商所推出的第5个化工品种，也是国内衍生品市场第70个品种。</w:t>
      </w:r>
    </w:p>
    <w:p>
      <w:pPr>
        <w:pStyle w:val="TextBody"/>
      </w:pPr>
      <w:r>
        <w:t xml:space="preserve">大商所发布了苯乙烯期货合约及相关规则。苯乙烯期货的交易代码是EB，交易单位为5吨/手，涨跌停板幅度为上一个交易日结算价的4%，最低交易保证金是合约价值的5%。</w:t>
      </w:r>
    </w:p>
    <w:p>
      <w:pPr>
        <w:pStyle w:val="TextBody"/>
      </w:pPr>
      <w:hyperlink r:id="rId28">
        <w:r>
          <w:rPr>
            <w:rStyle w:val="Hyperlink"/>
          </w:rPr>
          <w:t xml:space="preserve">http://news.cnstock.com/industry,rdjj-201909-4433304.htm</w:t>
        </w:r>
      </w:hyperlink>
    </w:p>
    <w:p>
      <w:pPr>
        <w:pStyle w:val="Heading3"/>
      </w:pPr>
      <w:bookmarkStart w:id="29" w:name="国内首只商品期货etf华夏豆粕etf成立"/>
      <w:r>
        <w:t xml:space="preserve">国内首只商品期货ETF——华夏豆粕ETF成立</w:t>
      </w:r>
      <w:bookmarkEnd w:id="29"/>
    </w:p>
    <w:p>
      <w:pPr>
        <w:pStyle w:val="FirstParagraph"/>
      </w:pPr>
      <w:r>
        <w:t xml:space="preserve">2019年9月25日华夏基金发布公告，旗下华夏饲料豆粕期货ETF正式成立，境内首只商品期货ETF正式成立，投资者资产配置和大宗商品投资又添新工具。</w:t>
      </w:r>
    </w:p>
    <w:p>
      <w:pPr>
        <w:pStyle w:val="TextBody"/>
      </w:pPr>
      <w:r>
        <w:t xml:space="preserve">大宗商品与股票、债券等传统资产的相关性不高，投资互补性强，可用于分散风险。通过商品期货ETF，投资者不用直接参与期货交易，仅通过申购赎回基金份额或二级市场交易即可实现参与大宗商品投资，而且还具有投资门槛低、交易成本低，交易渠道便捷，低杠杆风险可控，T+0交易、投资效率高，透明度高等优势。商品期货ETF的出现还提升了机构投资者在期货市场的比重，对稳定商品期货合约价格、促进商品期货合约价格发现功能发挥、提高市场有效性等也具有重要意义，与此同时，也增加了期货市场的流动性，有利于实体企业进行风险对冲和套期保值。</w:t>
      </w:r>
    </w:p>
    <w:p>
      <w:pPr>
        <w:pStyle w:val="TextBody"/>
      </w:pPr>
      <w:hyperlink r:id="rId30">
        <w:r>
          <w:rPr>
            <w:rStyle w:val="Hyperlink"/>
          </w:rPr>
          <w:t xml:space="preserve">http://news.cnstock.com/news,bwkx-201909-4434400.htm</w:t>
        </w:r>
      </w:hyperlink>
    </w:p>
    <w:p>
      <w:pPr>
        <w:pStyle w:val="Heading3"/>
      </w:pPr>
      <w:bookmarkStart w:id="31" w:name="不锈钢期货上期所挂牌上市"/>
      <w:r>
        <w:t xml:space="preserve">不锈钢期货上期所挂牌上市</w:t>
      </w:r>
      <w:bookmarkEnd w:id="31"/>
    </w:p>
    <w:p>
      <w:pPr>
        <w:pStyle w:val="FirstParagraph"/>
      </w:pPr>
      <w:r>
        <w:t xml:space="preserve">2019年9月25日，不锈钢期货在上海期货交易所（以下简称“上期所”）正式挂牌上市。</w:t>
      </w:r>
    </w:p>
    <w:p>
      <w:pPr>
        <w:pStyle w:val="TextBody"/>
      </w:pPr>
      <w:r>
        <w:t xml:space="preserve">上市不锈钢期货，可以丰富钢材期货品种序列，为产业链企业提供公开、连续、透明的价格信号和高效的风险管理工具，还可以发挥我国作为全球第一大不锈钢生产国和消费国的地位优势，提升我国不锈钢全球定价影响力。</w:t>
      </w:r>
    </w:p>
    <w:p>
      <w:pPr>
        <w:pStyle w:val="TextBody"/>
      </w:pPr>
      <w:hyperlink r:id="rId32">
        <w:r>
          <w:rPr>
            <w:rStyle w:val="Hyperlink"/>
          </w:rPr>
          <w:t xml:space="preserve">http://news.cnstock.com/news,bwkx-201909-4434341.htm</w:t>
        </w:r>
      </w:hyperlink>
    </w:p>
    <w:p>
      <w:pPr>
        <w:pStyle w:val="Heading3"/>
      </w:pPr>
      <w:bookmarkStart w:id="33" w:name="我国首个上市公司跨境路演平台启用"/>
      <w:r>
        <w:t xml:space="preserve">我国首个上市公司跨境路演平台启用</w:t>
      </w:r>
      <w:bookmarkEnd w:id="33"/>
    </w:p>
    <w:p>
      <w:pPr>
        <w:pStyle w:val="FirstParagraph"/>
      </w:pPr>
      <w:r>
        <w:t xml:space="preserve">2019年9月25日，上市公司跨境交流峰会暨跨境路演平台启动仪式在深圳成功举行。仪式结束后，“A股上市公司路演专场”、“港股上市公司路演专场”同时举行，我国首个上市公司跨境路演平台正式投入使用。</w:t>
      </w:r>
    </w:p>
    <w:p>
      <w:pPr>
        <w:pStyle w:val="TextBody"/>
      </w:pPr>
      <w:r>
        <w:t xml:space="preserve">由于制度设计等方面的原因，一批在港上市的优质公司并不为内地投资者所了解，A股公司也不全为香港投资机构所熟悉，给投资造成信息上的障碍。“上市公司跨境路演平台”，能为A股上市公司搭建面向境外机构的常态化沟通服务，也将为H股上市公司提供面向境内投资者的沟通窗口，以减少此类障碍。</w:t>
      </w:r>
    </w:p>
    <w:p>
      <w:pPr>
        <w:pStyle w:val="TextBody"/>
      </w:pPr>
      <w:hyperlink r:id="rId34">
        <w:r>
          <w:rPr>
            <w:rStyle w:val="Hyperlink"/>
          </w:rPr>
          <w:t xml:space="preserve">http://company.cnstock.com/company/scp_gsxw/201909/4434648.htm</w:t>
        </w:r>
      </w:hyperlink>
    </w:p>
    <w:p>
      <w:pPr>
        <w:pStyle w:val="Heading2"/>
      </w:pPr>
      <w:bookmarkStart w:id="35" w:name="保险"/>
      <w:r>
        <w:t xml:space="preserve">保险</w:t>
      </w:r>
      <w:bookmarkEnd w:id="35"/>
    </w:p>
    <w:p>
      <w:pPr>
        <w:pStyle w:val="Heading3"/>
      </w:pPr>
      <w:bookmarkStart w:id="36" w:name="险企拟开展流动性风险测试"/>
      <w:r>
        <w:t xml:space="preserve">险企拟开展流动性风险测试</w:t>
      </w:r>
      <w:bookmarkEnd w:id="36"/>
    </w:p>
    <w:p>
      <w:pPr>
        <w:pStyle w:val="FirstParagraph"/>
      </w:pPr>
      <w:r>
        <w:t xml:space="preserve">根据偿二代二期工程建设工作安排，银保监会偿付能力监管部近期向保险公司下发通知，拟开展流动性风险项目行业测试工作。</w:t>
      </w:r>
    </w:p>
    <w:p>
      <w:pPr>
        <w:pStyle w:val="TextBody"/>
      </w:pPr>
      <w:r>
        <w:t xml:space="preserve">在收集数据的定量测试方面，测试方案显示，流动性风险量化指标体系包括现金流测试、流动性监管指标及流动性监测指标；测试方案完善了现金流测试规则及填报信息，对产险、寿险、再保险公司提出差异化管理要求，细分账户，完善经营活动、投资活动及筹资活动现金流测试信息；测试方案对监管指标“流动性覆盖率”进行了重新定义，提出差异化管理要求；在流动性风险监测指标上，测试方案对产险、寿险、再保险公司加以区分，从负债端、资产端、资产与负债匹配等不同维度关注流动性风险驱动要素，便于监管部门日常监控公司流动性风险水平的管理。</w:t>
      </w:r>
    </w:p>
    <w:p>
      <w:pPr>
        <w:pStyle w:val="TextBody"/>
      </w:pPr>
      <w:hyperlink r:id="rId37">
        <w:r>
          <w:rPr>
            <w:rStyle w:val="Hyperlink"/>
          </w:rPr>
          <w:t xml:space="preserve">http://news.cnstock.com/news,yw-201909-4434168.htm</w:t>
        </w:r>
      </w:hyperlink>
    </w:p>
    <w:p>
      <w:pPr>
        <w:pStyle w:val="Heading3"/>
      </w:pPr>
      <w:bookmarkStart w:id="38" w:name="工行农行10股权正式划转全国社保基金"/>
      <w:r>
        <w:t xml:space="preserve">工行农行10%股权正式划转全国社保基金</w:t>
      </w:r>
      <w:bookmarkEnd w:id="38"/>
    </w:p>
    <w:p>
      <w:pPr>
        <w:pStyle w:val="FirstParagraph"/>
      </w:pPr>
      <w:r>
        <w:t xml:space="preserve">2019年9月25日，工行和农行分别发布公告称，其10%的股权由财政部一次性划转给全国社会保障基金理事会持有。旨在落实2017年11月国务院印发的《划转部分国有资本充实社保基金实施方案》，划转部分国有资本弥补企业职工基本养老保险基金缺口。</w:t>
      </w:r>
    </w:p>
    <w:p>
      <w:pPr>
        <w:pStyle w:val="TextBody"/>
      </w:pPr>
      <w:r>
        <w:t xml:space="preserve">工行公告称，股东财政部将其持有的工行股权的10%一次性划转给全国社会保障基金理事会持有。本次划转前，财政部持有工行123316451864股A股股份，占普通股股份总数的34.60%；本次划转的股份数为12331645186股A股股份，占普通股股份总数的3.46%。</w:t>
      </w:r>
    </w:p>
    <w:p>
      <w:pPr>
        <w:pStyle w:val="TextBody"/>
      </w:pPr>
      <w:r>
        <w:t xml:space="preserve">农行公告称，股东财政部将其持有的农行股权的10%一次性划转给全国社会保障基金理事会持有。本次划转前，财政部持有农行137239094711股A股股份，占普通股股份总数的39.21%；本次划转的股份数为13723909471股A股股份，占普通股股份总数的3.92%。</w:t>
      </w:r>
    </w:p>
    <w:p>
      <w:pPr>
        <w:pStyle w:val="TextBody"/>
      </w:pPr>
      <w:r>
        <w:t xml:space="preserve">两家银行的公告均提示，本次权益变动不触及要约收购，不会导致控股股东及实际控制人发生变化。</w:t>
      </w:r>
    </w:p>
    <w:p>
      <w:pPr>
        <w:pStyle w:val="TextBody"/>
      </w:pPr>
      <w:hyperlink r:id="rId39">
        <w:r>
          <w:rPr>
            <w:rStyle w:val="Hyperlink"/>
          </w:rPr>
          <w:t xml:space="preserve">http://news.cnstock.com/news,yw-201909-4434654.htm</w:t>
        </w:r>
      </w:hyperlink>
    </w:p>
    <w:p>
      <w:pPr>
        <w:pStyle w:val="Heading3"/>
      </w:pPr>
      <w:bookmarkStart w:id="40" w:name="中国太保拟发行gdr登陆伦交所"/>
      <w:r>
        <w:t xml:space="preserve">中国太保拟发行GDR登陆伦交所</w:t>
      </w:r>
      <w:bookmarkEnd w:id="40"/>
    </w:p>
    <w:p>
      <w:pPr>
        <w:pStyle w:val="FirstParagraph"/>
      </w:pPr>
      <w:r>
        <w:t xml:space="preserve">中国太保拟发行GDR（全球存托凭证）并在伦敦证券交易所主板挂牌交易，为首家公告拟发行GDR的A股保险机构。本次GDR发行完成后，中国太保将实现上海、香港、伦敦三地上市。</w:t>
      </w:r>
    </w:p>
    <w:p>
      <w:pPr>
        <w:pStyle w:val="TextBody"/>
      </w:pPr>
      <w:r>
        <w:t xml:space="preserve">根据中国太保公告，此次发行的GDR属于西向业务，具体指符合条件的上交所上市公司以增发的A股股份作为基础证券，由国际存托机构转换为存托凭证并在伦交所主板发行，存托凭证和基础股票之间可以相互转换。本次发行的GDR所代表的基础证券A股股票不超过6.29亿股，不超过本次发行前公司A股股票数量的10%；发行价格则根据国际惯例和沪伦通监管规定，将通过订单需求和簿记建档，以市场化方式确定。就发行对象看，中国太保此次GDR拟在全球范围内进行发售，将面向合格国际投资者及其他符合相关规定的投资者发行。</w:t>
      </w:r>
    </w:p>
    <w:p>
      <w:pPr>
        <w:pStyle w:val="TextBody"/>
      </w:pPr>
      <w:hyperlink r:id="rId41">
        <w:r>
          <w:rPr>
            <w:rStyle w:val="Hyperlink"/>
          </w:rPr>
          <w:t xml:space="preserve">http://news.cnstock.com/news,yw-201909-4433693.htm</w:t>
        </w:r>
      </w:hyperlink>
    </w:p>
    <w:p>
      <w:pPr>
        <w:pStyle w:val="Heading2"/>
      </w:pPr>
      <w:bookmarkStart w:id="42" w:name="知产"/>
      <w:r>
        <w:t xml:space="preserve">知产</w:t>
      </w:r>
      <w:bookmarkEnd w:id="42"/>
    </w:p>
    <w:p>
      <w:pPr>
        <w:pStyle w:val="Heading3"/>
      </w:pPr>
      <w:bookmarkStart w:id="43" w:name="北京大兴国际机场正式通航"/>
      <w:r>
        <w:t xml:space="preserve">北京大兴国际机场正式通航</w:t>
      </w:r>
      <w:bookmarkEnd w:id="43"/>
    </w:p>
    <w:p>
      <w:pPr>
        <w:pStyle w:val="FirstParagraph"/>
      </w:pPr>
      <w:r>
        <w:t xml:space="preserve">2019年9月25日北京大兴国际机场正式通航。</w:t>
      </w:r>
    </w:p>
    <w:p>
      <w:pPr>
        <w:pStyle w:val="TextBody"/>
      </w:pPr>
      <w:r>
        <w:t xml:space="preserve">北京大兴国际机场位于北京市大兴区和河北省廊坊市广阳区之间，与天安门直线距离为46公里，是目前全球建设规模最大的新建机场。航站楼综合体建筑140万平方米，可停靠飞机的指廊展开长度超过4000米。机场规划四纵两横6条民用跑道，本期建设三纵一横四条跑道、268个停机位。机场建成了“五纵两横”的交通网络，1小时通达京津冀。</w:t>
      </w:r>
    </w:p>
    <w:p>
      <w:pPr>
        <w:pStyle w:val="TextBody"/>
      </w:pPr>
      <w:r>
        <w:t xml:space="preserve">北京大兴国际机场的航站楼是世界最大的减隔震建筑，建设了世界最大单块混凝土板。初步统计，大兴机场已经创造了40余项国际、国内第一，技术专利103项，新工法65项，国产化率达98%以上。北京大兴国际机场航站楼是世界首个实现高铁下穿的航站楼，双层出发车道边世界首创，有效保证了旅客进出机场效率。机场在全球枢纽机场中首次实现了场内通用车辆100%新能源，是国内可再生能源利用率最高的机场。</w:t>
      </w:r>
    </w:p>
    <w:p>
      <w:pPr>
        <w:pStyle w:val="TextBody"/>
      </w:pPr>
      <w:hyperlink r:id="rId44">
        <w:r>
          <w:rPr>
            <w:rStyle w:val="Hyperlink"/>
          </w:rPr>
          <w:t xml:space="preserve">http://news.cnstock.com/news,bwkx-201909-4434521.htm</w:t>
        </w:r>
      </w:hyperlink>
    </w:p>
    <w:p>
      <w:pPr>
        <w:pStyle w:val="Heading2"/>
      </w:pPr>
      <w:bookmarkStart w:id="45" w:name="行业"/>
      <w:r>
        <w:t xml:space="preserve">行业</w:t>
      </w:r>
      <w:bookmarkEnd w:id="45"/>
    </w:p>
    <w:p>
      <w:pPr>
        <w:pStyle w:val="Heading3"/>
      </w:pPr>
      <w:bookmarkStart w:id="46" w:name="国家铁路局批准发布磁浮铁路技术标准试行"/>
      <w:r>
        <w:t xml:space="preserve">国家铁路局批准发布《磁浮铁路技术标准（试行）》</w:t>
      </w:r>
      <w:bookmarkEnd w:id="46"/>
    </w:p>
    <w:p>
      <w:pPr>
        <w:pStyle w:val="FirstParagraph"/>
      </w:pPr>
      <w:r>
        <w:t xml:space="preserve">近日，国家铁路局批准发布铁道行业标准《磁浮铁路技术标准（试行）》（TB 10630-2019），自2020年1月1日起实施。这是我国磁浮铁路领域的基础性行业标准，将为规范和引领磁浮铁路建设和装备制造提供重要的技术支撑。</w:t>
      </w:r>
    </w:p>
    <w:p>
      <w:pPr>
        <w:pStyle w:val="TextBody"/>
      </w:pPr>
      <w:r>
        <w:t xml:space="preserve">《磁浮铁路技术标准（试行）》统一了限界、轨距、轨道基准面等基本技术要求，明确了磁浮车辆主要技术规格，引导我国磁浮项目有序、高质量建设，推动磁浮装备规范、健康发展。时速600公里磁浮交通系统关键技术等专项研究正在开展，上海、北京、长沙等磁浮线运营实践经验还在不断总结，高温超导、低温超导磁浮技术和低真空管道技术的研究也在不断深入，将会对磁浮技术标准提出新的要求。基于以上考虑，确定标准按试行发布。</w:t>
      </w:r>
    </w:p>
    <w:p>
      <w:pPr>
        <w:pStyle w:val="TextBody"/>
      </w:pPr>
      <w:hyperlink r:id="rId47">
        <w:r>
          <w:rPr>
            <w:rStyle w:val="Hyperlink"/>
          </w:rPr>
          <w:t xml:space="preserve">http://news.cnstock.com/news,bwkx-201909-4434453.htm</w:t>
        </w:r>
      </w:hyperlink>
    </w:p>
    <w:p>
      <w:pPr>
        <w:pStyle w:val="Heading3"/>
      </w:pPr>
      <w:bookmarkStart w:id="48" w:name="中金公司拟与腾讯成立合资技术公司"/>
      <w:r>
        <w:t xml:space="preserve">中金公司拟与腾讯成立合资技术公司</w:t>
      </w:r>
      <w:bookmarkEnd w:id="48"/>
    </w:p>
    <w:p>
      <w:pPr>
        <w:pStyle w:val="FirstParagraph"/>
      </w:pPr>
      <w:r>
        <w:t xml:space="preserve">中金公司官方宣布与腾讯控股有限公司间接持有的全资附属公司腾讯数码（深圳）有限公司订立股东协议，拟成立一家合资技术公司。合资技术公司注册资本拟为人民币5亿元，其中中金公司持股51%，腾讯数码持股49%。</w:t>
      </w:r>
    </w:p>
    <w:p>
      <w:pPr>
        <w:pStyle w:val="TextBody"/>
      </w:pPr>
      <w:r>
        <w:t xml:space="preserve">该合资技术公司拟通过提供技术平台开发及数字化运营支持，助力中金财富管理和零售经纪等业务，双方股东将提供合资技术公司正常运营所需资源，并发挥自身优势支持合资技术公司发展，包括中金公司显著的投顾、产品、资产配置、风控等经验，以及证券行业技术能力和金融人才优势；以及腾讯显著的客户群和生态优势、数字化能力和经验、技术和运营人才优势。</w:t>
      </w:r>
    </w:p>
    <w:p>
      <w:pPr>
        <w:pStyle w:val="TextBody"/>
      </w:pPr>
      <w:hyperlink r:id="rId49">
        <w:r>
          <w:rPr>
            <w:rStyle w:val="Hyperlink"/>
          </w:rPr>
          <w:t xml:space="preserve">http://news.cnstock.com/news,bwkx-201909-4434329.htm</w:t>
        </w:r>
      </w:hyperlink>
    </w:p>
    <w:p>
      <w:pPr>
        <w:pStyle w:val="Heading2"/>
      </w:pPr>
      <w:bookmarkStart w:id="50" w:name="并购"/>
      <w:r>
        <w:t xml:space="preserve">并购</w:t>
      </w:r>
      <w:bookmarkEnd w:id="50"/>
    </w:p>
    <w:p>
      <w:pPr>
        <w:pStyle w:val="Heading3"/>
      </w:pPr>
      <w:bookmarkStart w:id="51" w:name="蓝帆医疗1.78亿欧元收购心脏瓣膜领域nvt公司100股权"/>
      <w:r>
        <w:t xml:space="preserve">蓝帆医疗1.78亿欧元收购心脏瓣膜领域NVT公司100%股权</w:t>
      </w:r>
      <w:bookmarkEnd w:id="51"/>
    </w:p>
    <w:p>
      <w:pPr>
        <w:pStyle w:val="FirstParagraph"/>
      </w:pPr>
      <w:r>
        <w:t xml:space="preserve">2019年9月24日，蓝帆医疗股份有限公司发布公告，收购瑞士NVTAG（简称“NVT”）公司全部股权的消息。蓝帆医疗与NVT股东共同签署了股权购买协议，公司拟通过公开发行可转换公司债券募集资金后以现金支付的方式收购卖方所持位于瑞士的全部5.1万股股份。</w:t>
      </w:r>
    </w:p>
    <w:p>
      <w:pPr>
        <w:pStyle w:val="TextBody"/>
      </w:pPr>
      <w:r>
        <w:t xml:space="preserve">而NVT公司的净资产和净利润皆为负值。公告显示，2019年1月至6月，标的公司净资产-2.31亿元，净利润-2400.58万元。公告解释其原因主要系历史上该公司股东以借款而非权益资本向公司提供所需资金（假设该等股东借款均为权益投入，调整后截至2019年6月30日NVT的净资产为正）。本次交易的收购对价包括了权益资本和股东借款（承债）。</w:t>
      </w:r>
    </w:p>
    <w:p>
      <w:pPr>
        <w:pStyle w:val="TextBody"/>
      </w:pPr>
      <w:r>
        <w:t xml:space="preserve">蓝帆医疗希望通过收购NVT，获得全球介入心脏瓣膜领域的稀缺标的，助力公司获取国内领先的高端产品及核心技术，将进一步深化其向高值耗材领域的转型升级和业务布局，有利于提高上市公司的持续盈利能力。</w:t>
      </w:r>
    </w:p>
    <w:p>
      <w:pPr>
        <w:pStyle w:val="TextBody"/>
      </w:pPr>
      <w:hyperlink r:id="rId52">
        <w:r>
          <w:rPr>
            <w:rStyle w:val="Hyperlink"/>
          </w:rPr>
          <w:t xml:space="preserve">http://www.ifnews.com/17/detail-43983.html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- 2019年9月27日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fa23ec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34" Type="http://schemas.openxmlformats.org/officeDocument/2006/relationships/hyperlink" Target="http://company.cnstock.com/company/scp_gsxw/201909/4434648.htm" TargetMode="External"/><Relationship Id="rId28" Type="http://schemas.openxmlformats.org/officeDocument/2006/relationships/hyperlink" Target="http://news.cnstock.com/industry,rdjj-201909-4433304.htm" TargetMode="External"/><Relationship Id="rId49" Type="http://schemas.openxmlformats.org/officeDocument/2006/relationships/hyperlink" Target="http://news.cnstock.com/news,bwkx-201909-4434329.htm" TargetMode="External"/><Relationship Id="rId32" Type="http://schemas.openxmlformats.org/officeDocument/2006/relationships/hyperlink" Target="http://news.cnstock.com/news,bwkx-201909-4434341.htm" TargetMode="External"/><Relationship Id="rId26" Type="http://schemas.openxmlformats.org/officeDocument/2006/relationships/hyperlink" Target="http://news.cnstock.com/news,bwkx-201909-4434362.htm" TargetMode="External"/><Relationship Id="rId30" Type="http://schemas.openxmlformats.org/officeDocument/2006/relationships/hyperlink" Target="http://news.cnstock.com/news,bwkx-201909-4434400.htm" TargetMode="External"/><Relationship Id="rId47" Type="http://schemas.openxmlformats.org/officeDocument/2006/relationships/hyperlink" Target="http://news.cnstock.com/news,bwkx-201909-4434453.htm" TargetMode="External"/><Relationship Id="rId44" Type="http://schemas.openxmlformats.org/officeDocument/2006/relationships/hyperlink" Target="http://news.cnstock.com/news,bwkx-201909-4434521.htm" TargetMode="External"/><Relationship Id="rId41" Type="http://schemas.openxmlformats.org/officeDocument/2006/relationships/hyperlink" Target="http://news.cnstock.com/news,yw-201909-4433693.htm" TargetMode="External"/><Relationship Id="rId37" Type="http://schemas.openxmlformats.org/officeDocument/2006/relationships/hyperlink" Target="http://news.cnstock.com/news,yw-201909-4434168.htm" TargetMode="External"/><Relationship Id="rId39" Type="http://schemas.openxmlformats.org/officeDocument/2006/relationships/hyperlink" Target="http://news.cnstock.com/news,yw-201909-4434654.htm" TargetMode="External"/><Relationship Id="rId52" Type="http://schemas.openxmlformats.org/officeDocument/2006/relationships/hyperlink" Target="http://www.ifnews.com/17/detail-43983.html" TargetMode="External"/><Relationship Id="rId24" Type="http://schemas.openxmlformats.org/officeDocument/2006/relationships/hyperlink" Target="http://www.xinhuanet.com/money/2019-09/23/c_1210288986.htm" TargetMode="External"/><Relationship Id="rId9" Type="http://schemas.openxmlformats.org/officeDocument/2006/relationships/hyperlink" Target="http://www.charltonslaw.com.cn/yin-bao-jian-hui-fa-bu-shang-ye-yin-hang-li-cai-zi-gong-si-jing-zi-ben-guan-li-ban-fa-shi-xing-zheng-qiu-yi-jian-g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4" Type="http://schemas.openxmlformats.org/officeDocument/2006/relationships/hyperlink" Target="http://company.cnstock.com/company/scp_gsxw/201909/4434648.htm" TargetMode="External"/><Relationship Id="rId28" Type="http://schemas.openxmlformats.org/officeDocument/2006/relationships/hyperlink" Target="http://news.cnstock.com/industry,rdjj-201909-4433304.htm" TargetMode="External"/><Relationship Id="rId49" Type="http://schemas.openxmlformats.org/officeDocument/2006/relationships/hyperlink" Target="http://news.cnstock.com/news,bwkx-201909-4434329.htm" TargetMode="External"/><Relationship Id="rId32" Type="http://schemas.openxmlformats.org/officeDocument/2006/relationships/hyperlink" Target="http://news.cnstock.com/news,bwkx-201909-4434341.htm" TargetMode="External"/><Relationship Id="rId26" Type="http://schemas.openxmlformats.org/officeDocument/2006/relationships/hyperlink" Target="http://news.cnstock.com/news,bwkx-201909-4434362.htm" TargetMode="External"/><Relationship Id="rId30" Type="http://schemas.openxmlformats.org/officeDocument/2006/relationships/hyperlink" Target="http://news.cnstock.com/news,bwkx-201909-4434400.htm" TargetMode="External"/><Relationship Id="rId47" Type="http://schemas.openxmlformats.org/officeDocument/2006/relationships/hyperlink" Target="http://news.cnstock.com/news,bwkx-201909-4434453.htm" TargetMode="External"/><Relationship Id="rId44" Type="http://schemas.openxmlformats.org/officeDocument/2006/relationships/hyperlink" Target="http://news.cnstock.com/news,bwkx-201909-4434521.htm" TargetMode="External"/><Relationship Id="rId41" Type="http://schemas.openxmlformats.org/officeDocument/2006/relationships/hyperlink" Target="http://news.cnstock.com/news,yw-201909-4433693.htm" TargetMode="External"/><Relationship Id="rId37" Type="http://schemas.openxmlformats.org/officeDocument/2006/relationships/hyperlink" Target="http://news.cnstock.com/news,yw-201909-4434168.htm" TargetMode="External"/><Relationship Id="rId39" Type="http://schemas.openxmlformats.org/officeDocument/2006/relationships/hyperlink" Target="http://news.cnstock.com/news,yw-201909-4434654.htm" TargetMode="External"/><Relationship Id="rId52" Type="http://schemas.openxmlformats.org/officeDocument/2006/relationships/hyperlink" Target="http://www.ifnews.com/17/detail-43983.html" TargetMode="External"/><Relationship Id="rId24" Type="http://schemas.openxmlformats.org/officeDocument/2006/relationships/hyperlink" Target="http://www.xinhuanet.com/money/2019-09/23/c_12102889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2019-09-27T01:51:24Z</dcterms:created>
  <dcterms:modified xsi:type="dcterms:W3CDTF">2019-09-27T01:51:24Z</dcterms:modified>
</cp:coreProperties>
</file>