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- 2019年10月11日</w:t>
      </w:r>
    </w:p>
    <w:p>
      <w:pPr>
        <w:pStyle w:val="ReadOnline"/>
      </w:pPr>
      <w:hyperlink r:id="rId9">
        <w:r>
          <w:rPr/>
          <w:t>online version</w:t>
        </w:r>
      </w:hyperlink>
    </w:p>
    <w:p>
      <w:pPr>
        <w:pStyle w:val="Title"/>
      </w:pPr>
      <w:r>
        <w:t>“上海银”将为国内市场提供白银基准价</w:t>
      </w:r>
    </w:p>
    <w:p>
      <w:pPr>
        <w:pStyle w:val="Heading2"/>
      </w:pPr>
      <w:bookmarkStart w:id="21" w:name="简介"/>
      <w:r>
        <w:t xml:space="preserve">简介</w:t>
      </w:r>
      <w:bookmarkEnd w:id="21"/>
    </w:p>
    <w:p>
      <w:pPr>
        <w:pStyle w:val="FirstParagraph"/>
      </w:pPr>
      <w:r>
        <w:t xml:space="preserve">“上海银”将为国内市场提供白银基准价；中证协发文进一步明确科创板投资价值研报要求；银保监会《商业银行代理保险业务管理办法》正式实施</w:t>
      </w:r>
    </w:p>
    <w:p>
      <w:pPr>
        <w:pStyle w:val="Heading2"/>
      </w:pPr>
      <w:bookmarkStart w:id="22" w:name="资本市场"/>
      <w:r>
        <w:t xml:space="preserve">资本市场</w:t>
      </w:r>
      <w:bookmarkEnd w:id="22"/>
    </w:p>
    <w:p>
      <w:pPr>
        <w:pStyle w:val="Heading3"/>
      </w:pPr>
      <w:bookmarkStart w:id="23" w:name="上海银将为国内市场提供白银基准价"/>
      <w:r>
        <w:t xml:space="preserve">“上海银”将为国内市场提供白银基准价</w:t>
      </w:r>
      <w:bookmarkEnd w:id="23"/>
    </w:p>
    <w:p>
      <w:pPr>
        <w:pStyle w:val="FirstParagraph"/>
      </w:pPr>
      <w:r>
        <w:t xml:space="preserve">上海黄金交易所（下称上金所）发布公告称，为更好服务实体经济，完善白银市场基础，在试运行稳定的基础上，上金所定于10月14日正式挂牌上海银集中定价合约，为国内市场提供白银基准价。</w:t>
      </w:r>
    </w:p>
    <w:p>
      <w:pPr>
        <w:pStyle w:val="TextBody"/>
      </w:pPr>
      <w:r>
        <w:t xml:space="preserve">“上海银”定价合约的合约代码为SHAG，报价单位为人民币元/千克，交易单位15千克/手，上市初期SHAG合约的保证金比例为10%。“上海银”集中定价交易每日分早盘和午盘两场。</w:t>
      </w:r>
    </w:p>
    <w:p>
      <w:pPr>
        <w:pStyle w:val="TextBody"/>
      </w:pPr>
      <w:r>
        <w:t xml:space="preserve">公告显示，2019年10月14日起至2019年12月31日，上金所免收“上海银”合约的交易手续费及实物交割费。“上海银”集中定价合约与交易所的其他交易合约实行同一账户集中清算。交易所依次按照竞价交易、集中定价交易、报价交易、询价交易的顺序进行清算和交割。</w:t>
      </w:r>
    </w:p>
    <w:p>
      <w:pPr>
        <w:pStyle w:val="TextBody"/>
      </w:pPr>
      <w:hyperlink r:id="rId24">
        <w:r>
          <w:rPr>
            <w:rStyle w:val="Hyperlink"/>
          </w:rPr>
          <w:t xml:space="preserve">http://news.cnstock.com/industry,rdjj-201910-4436951.htm</w:t>
        </w:r>
      </w:hyperlink>
    </w:p>
    <w:p>
      <w:pPr>
        <w:pStyle w:val="Heading3"/>
      </w:pPr>
      <w:bookmarkStart w:id="25" w:name="中证协发文进一步明确科创板投资价值研报要求"/>
      <w:r>
        <w:t xml:space="preserve">中证协发文进一步明确科创板投资价值研报要求</w:t>
      </w:r>
      <w:bookmarkEnd w:id="25"/>
    </w:p>
    <w:p>
      <w:pPr>
        <w:pStyle w:val="FirstParagraph"/>
      </w:pPr>
      <w:r>
        <w:t xml:space="preserve">近日中国证券业协会向各券商下发了《关于进一步明确科创板投资价值研究报告要求的通知》（下称《通知》），包括投价报告应当遵循的三大原则和七大内容要求，以及要求证券公司应当加强对投价报告的内部控制。《通知》要求投价报告应当遵守三大原则，包括独立、审慎、客观；资料来源具有权威性；无虚假记载、误导性陈述或重大遗漏。</w:t>
      </w:r>
    </w:p>
    <w:p>
      <w:pPr>
        <w:pStyle w:val="TextBody"/>
      </w:pPr>
      <w:r>
        <w:t xml:space="preserve">《通知》中提到，投价报告中的可比公司原则上应与招股说明书中披露的可比公司保持一致，不得随意增减，但能证明未故意通过增减可比公司提高发行人估值结论的情形除外。在估值结论方面，应给出本次公开发行股票后整体市值区间、假设不采用超额配售选择权的情况下的每股估值区间、对应的发行市盈率、计算方式等。</w:t>
      </w:r>
    </w:p>
    <w:p>
      <w:pPr>
        <w:pStyle w:val="TextBody"/>
      </w:pPr>
      <w:hyperlink r:id="rId26">
        <w:r>
          <w:rPr>
            <w:rStyle w:val="Hyperlink"/>
          </w:rPr>
          <w:t xml:space="preserve">http://news.cnstock.com/news,bwkx-201910-4436688.htm</w:t>
        </w:r>
      </w:hyperlink>
    </w:p>
    <w:p>
      <w:pPr>
        <w:pStyle w:val="Heading3"/>
      </w:pPr>
      <w:bookmarkStart w:id="27" w:name="基金管理公司二季度养老金管理规模排名出炉"/>
      <w:r>
        <w:t xml:space="preserve">基金管理公司二季度养老金管理规模排名出炉</w:t>
      </w:r>
      <w:bookmarkEnd w:id="27"/>
    </w:p>
    <w:p>
      <w:pPr>
        <w:pStyle w:val="FirstParagraph"/>
      </w:pPr>
      <w:r>
        <w:t xml:space="preserve">据中国基金业协会最新数据，基金管理公司二季度养老金管理规模排名出炉，工银瑞信基金、嘉实基金、易方达基金位列前三。华夏基金、博时基金、南方基金、鹏华基金、广发基金、银华基金、富国基金紧随其后，跻身前十。</w:t>
      </w:r>
    </w:p>
    <w:p>
      <w:pPr>
        <w:pStyle w:val="TextBody"/>
      </w:pPr>
      <w:r>
        <w:t xml:space="preserve">该协会信息显示，基金管理公司的养老金管理中包含社保基金、基本养老金、企业年金和职业年金，不含境外机构委托管理的养老金。截至2018年末，基金行业合计管理养老金规模达到1.72万亿元，基金行业管理养老金体量持续稳定增长。</w:t>
      </w:r>
    </w:p>
    <w:p>
      <w:pPr>
        <w:pStyle w:val="TextBody"/>
      </w:pPr>
      <w:hyperlink r:id="rId28">
        <w:r>
          <w:rPr>
            <w:rStyle w:val="Hyperlink"/>
          </w:rPr>
          <w:t xml:space="preserve">http://news.cnstock.com/news,bwkx-201910-4436336.htm</w:t>
        </w:r>
      </w:hyperlink>
    </w:p>
    <w:p>
      <w:pPr>
        <w:pStyle w:val="Heading3"/>
      </w:pPr>
      <w:bookmarkStart w:id="29" w:name="年上半年我国经常账户顺差5984亿元人民币"/>
      <w:r>
        <w:t xml:space="preserve">2019年上半年我国经常账户顺差5984亿元人民币</w:t>
      </w:r>
      <w:bookmarkEnd w:id="29"/>
    </w:p>
    <w:p>
      <w:pPr>
        <w:pStyle w:val="FirstParagraph"/>
      </w:pPr>
      <w:r>
        <w:t xml:space="preserve">国家外汇管理局发布数据显示，2019年上半年，我国经常账户顺差5984亿元，资本和金融账户顺差2912亿元，折合美元分别为822亿美元、430亿美元。</w:t>
      </w:r>
    </w:p>
    <w:p>
      <w:pPr>
        <w:pStyle w:val="TextBody"/>
      </w:pPr>
      <w:r>
        <w:t xml:space="preserve">根据国家外汇管理局同期发布的《2019年上半年中国国际收支报告》（下简称《报告》）显示，2019年上半年，我国国际收支保持基本平衡。经常账户差额继续处于合理区间，上半年顺差882亿美元，与GDP之比为1.3%。其中，货物贸易顺差同比增加，服务贸易逆差收窄，投资收益由逆差转为小幅顺差。</w:t>
      </w:r>
    </w:p>
    <w:p>
      <w:pPr>
        <w:pStyle w:val="TextBody"/>
      </w:pPr>
      <w:r>
        <w:t xml:space="preserve">《报告》显示，上半年，非储备性质的金融账户顺差454亿美元。其中，直接投资顺差保持平稳，仍是重要的顺差来源；证券投资延续顺差，反映了证券市场开放效果以及人民币资产的国际吸引力；其他投资逆差减少。上半年，我国交易形成的储备资产小幅增加、保持稳定，体现了国际收支基本平衡的结果。2019年6月末，我国对外金融资产和负债较2018年末分别增长1.6%和4.3%，对外净资产2.03万亿美元。</w:t>
      </w:r>
    </w:p>
    <w:p>
      <w:pPr>
        <w:pStyle w:val="TextBody"/>
      </w:pPr>
      <w:hyperlink r:id="rId30">
        <w:r>
          <w:rPr>
            <w:rStyle w:val="Hyperlink"/>
          </w:rPr>
          <w:t xml:space="preserve">http://news.cnstock.com/news,bwkx-201909-4435446.htm</w:t>
        </w:r>
      </w:hyperlink>
    </w:p>
    <w:p>
      <w:pPr>
        <w:pStyle w:val="Heading3"/>
      </w:pPr>
      <w:bookmarkStart w:id="31" w:name="首张外资第三方支付牌照发放"/>
      <w:r>
        <w:t xml:space="preserve">首张外资第三方支付牌照发放</w:t>
      </w:r>
      <w:bookmarkEnd w:id="31"/>
    </w:p>
    <w:p>
      <w:pPr>
        <w:pStyle w:val="FirstParagraph"/>
      </w:pPr>
      <w:r>
        <w:t xml:space="preserve">2019年9月30日，中国人民银行批准国付宝股权变更申请，全球第三方支付商业模式首创者、美国PayPal Pte.Ltd.（贝宝支付）通过旗下美银宝信息技术（上海）有限公司收购国付宝70%的股权，成为国付宝实际控制人并进入中国支付服务市场。</w:t>
      </w:r>
    </w:p>
    <w:p>
      <w:pPr>
        <w:pStyle w:val="TextBody"/>
      </w:pPr>
      <w:r>
        <w:t xml:space="preserve">这是《中国人民银行公告〔2018〕第7号》发布外商投资支付机构有关事宜后，第一家进入我国境内市场的外资支付机构。</w:t>
      </w:r>
    </w:p>
    <w:p>
      <w:pPr>
        <w:pStyle w:val="TextBody"/>
      </w:pPr>
      <w:hyperlink r:id="rId32">
        <w:r>
          <w:rPr>
            <w:rStyle w:val="Hyperlink"/>
          </w:rPr>
          <w:t xml:space="preserve">http://xw.sinoins.com/2019-10/08/content_306834.htm</w:t>
        </w:r>
      </w:hyperlink>
    </w:p>
    <w:p>
      <w:pPr>
        <w:pStyle w:val="Heading2"/>
      </w:pPr>
      <w:bookmarkStart w:id="33" w:name="保险"/>
      <w:r>
        <w:t xml:space="preserve">保险</w:t>
      </w:r>
      <w:bookmarkEnd w:id="33"/>
    </w:p>
    <w:p>
      <w:pPr>
        <w:pStyle w:val="Heading3"/>
      </w:pPr>
      <w:bookmarkStart w:id="34" w:name="银保监会商业银行代理保险业务管理办法正式实施"/>
      <w:r>
        <w:t xml:space="preserve">银保监会《商业银行代理保险业务管理办法》正式实施</w:t>
      </w:r>
      <w:bookmarkEnd w:id="34"/>
    </w:p>
    <w:p>
      <w:pPr>
        <w:pStyle w:val="FirstParagraph"/>
      </w:pPr>
      <w:r>
        <w:t xml:space="preserve">由银保监会发布的《商业银行代理保险业务管理办法》（以下简称《管理办法》）近期正式施行。《管理办法》针对“银保小账”、“存单变保单”等问题，从业务准入、经营规则、业务退出、监督管理等方面，对银行机构代销保险业务提出了全面要求。</w:t>
      </w:r>
    </w:p>
    <w:p>
      <w:pPr>
        <w:pStyle w:val="TextBody"/>
      </w:pPr>
      <w:r>
        <w:t xml:space="preserve">“银保小账”，是指银行员工在代理保险公司产品的时候收取的保险公司回扣；“存单变保单”，则是指银行在代理销售保险产品的时候，存在刻意误导的情况，致使存款人错误地将本以为的存款购买成了保险。</w:t>
      </w:r>
    </w:p>
    <w:p>
      <w:pPr>
        <w:pStyle w:val="TextBody"/>
      </w:pPr>
      <w:r>
        <w:t xml:space="preserve">《管理办法》要求商业银行在代理保险业务时，对取得的佣金应当如实全额入账，严禁账外核算和经营；险企应当按照财务制度据实列支向商业银行支付的佣金，不得以任何名义、任何形式向商业银行及其保险销售从业人员支付协议规定之外的任何利益。为杜绝“存单变保单”的情况，《管理办法》要求各类保险单证和宣传材料在颜色、样式、材料等方面应与银行单证和宣传材料有明显区别，不得出现“存款”、“储蓄”、“与银行共同推出”等字样。保险单册应在醒目位置对经营主体、保险责任、退保费用、现金价值和费用扣除情况进行提示，不得夸大或变相夸大保险合同利益。</w:t>
      </w:r>
    </w:p>
    <w:p>
      <w:pPr>
        <w:pStyle w:val="TextBody"/>
      </w:pPr>
      <w:hyperlink r:id="rId35">
        <w:r>
          <w:rPr>
            <w:rStyle w:val="Hyperlink"/>
          </w:rPr>
          <w:t xml:space="preserve">http://news.cnstock.com/news,yw-201910-4436583.htm</w:t>
        </w:r>
      </w:hyperlink>
    </w:p>
    <w:p>
      <w:pPr>
        <w:pStyle w:val="Heading2"/>
      </w:pPr>
      <w:bookmarkStart w:id="36" w:name="税收"/>
      <w:r>
        <w:t xml:space="preserve">税收</w:t>
      </w:r>
      <w:bookmarkEnd w:id="36"/>
    </w:p>
    <w:p>
      <w:pPr>
        <w:pStyle w:val="Heading3"/>
      </w:pPr>
      <w:bookmarkStart w:id="37" w:name="财政部税务总局明确生活性服务业增值税加计抵减政策"/>
      <w:r>
        <w:t xml:space="preserve">财政部、税务总局明确生活性服务业增值税加计抵减政策</w:t>
      </w:r>
      <w:bookmarkEnd w:id="37"/>
    </w:p>
    <w:p>
      <w:pPr>
        <w:pStyle w:val="FirstParagraph"/>
      </w:pPr>
      <w:r>
        <w:t xml:space="preserve">近日财政部、税务总局发布关于明确生活性服务业增值税加计抵减政策的公告。公告称，2019年10月1日至2021年12月31日，允许生活性服务业纳税人按照当期可抵扣进项税额加计15%，抵减应纳税额。</w:t>
      </w:r>
    </w:p>
    <w:p>
      <w:pPr>
        <w:pStyle w:val="TextBody"/>
      </w:pPr>
      <w:hyperlink r:id="rId38">
        <w:r>
          <w:rPr>
            <w:rStyle w:val="Hyperlink"/>
          </w:rPr>
          <w:t xml:space="preserve">http://news.cnstock.com/news,bwkx-201910-4436709.htm</w:t>
        </w:r>
      </w:hyperlink>
    </w:p>
    <w:p>
      <w:pPr>
        <w:pStyle w:val="Heading3"/>
      </w:pPr>
      <w:bookmarkStart w:id="39" w:name="国务院印发实施更大规模减税降费后调整中央与地方收入划分改革推进方案"/>
      <w:r>
        <w:t xml:space="preserve">国务院印发《实施更大规模减税降费后调整中央与地方收入划分改革推进方案》</w:t>
      </w:r>
      <w:bookmarkEnd w:id="39"/>
    </w:p>
    <w:p>
      <w:pPr>
        <w:pStyle w:val="FirstParagraph"/>
      </w:pPr>
      <w:r>
        <w:t xml:space="preserve">国务院印发《实施更大规模减税降费后调整中央与地方收入划分改革推进方案》（以下简称《方案》）。</w:t>
      </w:r>
    </w:p>
    <w:p>
      <w:pPr>
        <w:pStyle w:val="TextBody"/>
      </w:pPr>
      <w:r>
        <w:t xml:space="preserve">《方案》提出三个方面的政策措施：一是保持增值税“五五分享”比例稳定。二是调整完善增值税留抵退税分担机制。建立增值税留抵退税长效机制，并保持中央与地方“五五”分担比例不变。为缓解部分地区留抵退税压力，增值税留抵退税地方分担的部分（50%），由企业所在地全部负担（50%）调整为先负担15%，其余35%暂由企业所在地一并垫付，再由各地按上年增值税分享额占比均衡分担，垫付多于应分担的部分由中央财政按月向企业所在地省级财政调库。三是后移消费税征收环节并稳步下划地方将部分在生产（进口）环节征收的现行消费税品目逐步后移至批发或零售环节征收，拓展地方收入来源，引导地方改善消费环境。</w:t>
      </w:r>
    </w:p>
    <w:p>
      <w:pPr>
        <w:pStyle w:val="TextBody"/>
      </w:pPr>
      <w:hyperlink r:id="rId40">
        <w:r>
          <w:rPr>
            <w:rStyle w:val="Hyperlink"/>
          </w:rPr>
          <w:t xml:space="preserve">http://news.cnstock.com/news,bwkx-201910-4437203.htm</w:t>
        </w:r>
      </w:hyperlink>
    </w:p>
    <w:p>
      <w:pPr>
        <w:pStyle w:val="Heading2"/>
      </w:pPr>
      <w:bookmarkStart w:id="41" w:name="知产"/>
      <w:r>
        <w:t xml:space="preserve">知产</w:t>
      </w:r>
      <w:bookmarkEnd w:id="41"/>
    </w:p>
    <w:p>
      <w:pPr>
        <w:pStyle w:val="Heading3"/>
      </w:pPr>
      <w:bookmarkStart w:id="42" w:name="我国首台自主知识产权碳离子治疗系统获批上市"/>
      <w:r>
        <w:t xml:space="preserve">我国首台自主知识产权碳离子治疗系统获批上市</w:t>
      </w:r>
      <w:bookmarkEnd w:id="42"/>
    </w:p>
    <w:p>
      <w:pPr>
        <w:pStyle w:val="FirstParagraph"/>
      </w:pPr>
      <w:r>
        <w:t xml:space="preserve">2019年9月29日，国家药品监督管理局经审查，批准兰州科近泰基新技术有限责任公司的“碳离子治疗系统”医疗器械注册。</w:t>
      </w:r>
    </w:p>
    <w:p>
      <w:pPr>
        <w:pStyle w:val="TextBody"/>
      </w:pPr>
      <w:r>
        <w:t xml:space="preserve">该产品由中国科学院近代物理研究所及其控股公司兰州科近泰基新技术有限责任公司研制，产品安装于甘肃省武威肿瘤医院。这是国家药品监督管理局首次批准注册的国产碳离子治疗系统。</w:t>
      </w:r>
    </w:p>
    <w:p>
      <w:pPr>
        <w:pStyle w:val="TextBody"/>
      </w:pPr>
      <w:hyperlink r:id="rId43">
        <w:r>
          <w:rPr>
            <w:rStyle w:val="Hyperlink"/>
          </w:rPr>
          <w:t xml:space="preserve">http://news.cnstock.com/news,bwkx-201909-4435926.htm</w:t>
        </w:r>
      </w:hyperlink>
    </w:p>
    <w:p>
      <w:pPr>
        <w:pStyle w:val="Heading3"/>
      </w:pPr>
      <w:bookmarkStart w:id="44" w:name="全国首部省级知识产权保护综合性地方性法规出台"/>
      <w:r>
        <w:t xml:space="preserve">全国首部省级知识产权保护综合性地方性法规出台</w:t>
      </w:r>
      <w:bookmarkEnd w:id="44"/>
    </w:p>
    <w:p>
      <w:pPr>
        <w:pStyle w:val="FirstParagraph"/>
      </w:pPr>
      <w:r>
        <w:t xml:space="preserve">2019年9月27日，天津市十七届人大常委会第十三次会议审议通过了《天津市知识产权保护条例》，将于2019年11月1日起施行。这是全国首部省级知识产权保护的综合性地方性法规，对天津市进一步加强知识产权保护，激发创新活力，营造尊重知识价值、公平竞争的营商环境，必将产生积极影响。</w:t>
      </w:r>
    </w:p>
    <w:p>
      <w:pPr>
        <w:pStyle w:val="TextBody"/>
      </w:pPr>
      <w:hyperlink r:id="rId45">
        <w:r>
          <w:rPr>
            <w:rStyle w:val="Hyperlink"/>
          </w:rPr>
          <w:t xml:space="preserve">http://news.cnstock.com/news,bwkx-201909-4435554.htm</w:t>
        </w:r>
      </w:hyperlink>
    </w:p>
    <w:p>
      <w:pPr>
        <w:pStyle w:val="Heading2"/>
      </w:pPr>
      <w:bookmarkStart w:id="46" w:name="行业"/>
      <w:r>
        <w:t xml:space="preserve">行业</w:t>
      </w:r>
      <w:bookmarkEnd w:id="46"/>
    </w:p>
    <w:p>
      <w:pPr>
        <w:pStyle w:val="Heading3"/>
      </w:pPr>
      <w:bookmarkStart w:id="47" w:name="市场监管总局新能源车企应在事故后12小时内报告基本信息"/>
      <w:r>
        <w:t xml:space="preserve">市场监管总局：新能源车企应在事故后12小时内报告基本信息</w:t>
      </w:r>
      <w:bookmarkEnd w:id="47"/>
    </w:p>
    <w:p>
      <w:pPr>
        <w:pStyle w:val="FirstParagraph"/>
      </w:pPr>
      <w:r>
        <w:t xml:space="preserve">市场监管总局质量发展局就进一步规范新能源汽车事故报告发布补充通知，要求生产者获知其生产、销售或进口的新能源汽车在中国市场发生冒烟、起火事故的，应在事故发生后12小时内（如造成人员伤亡或重大社会影响的，应在事故发生后6小时内）向市场监管总局质量发展局报告事故基本信息；生产者应在事故发生后48小时内向市场监管总局质量发展局报《新能源汽车火灾事故信息表（试行）》。补充通知还对事故后的排查、调查、报告等工作提出了具体要求。</w:t>
      </w:r>
    </w:p>
    <w:p>
      <w:pPr>
        <w:pStyle w:val="TextBody"/>
      </w:pPr>
      <w:hyperlink r:id="rId48">
        <w:r>
          <w:rPr>
            <w:rStyle w:val="Hyperlink"/>
          </w:rPr>
          <w:t xml:space="preserve">http://news.cnstock.com/news,bwkx-201910-4437138.htm</w:t>
        </w:r>
      </w:hyperlink>
    </w:p>
    <w:p>
      <w:pPr>
        <w:pStyle w:val="Heading3"/>
      </w:pPr>
      <w:bookmarkStart w:id="49" w:name="年工信部重点实验室名单公布"/>
      <w:r>
        <w:t xml:space="preserve">2019年工信部重点实验室名单公布</w:t>
      </w:r>
      <w:bookmarkEnd w:id="49"/>
    </w:p>
    <w:p>
      <w:pPr>
        <w:pStyle w:val="FirstParagraph"/>
      </w:pPr>
      <w:r>
        <w:t xml:space="preserve">依据《工业和信息化部重点实验室管理暂行办法》（工信部科〔2014〕515号），经评审和公示，工业和信息化部公布2019年工业和信息化部重点实验室名单。</w:t>
      </w:r>
    </w:p>
    <w:p>
      <w:pPr>
        <w:pStyle w:val="TextBody"/>
      </w:pPr>
      <w:r>
        <w:t xml:space="preserve">根据文件，重点实验室涵盖卫星导航、大数据、物联网、核安全、人工智能、网络安全及工业互联网等多个领域。</w:t>
      </w:r>
    </w:p>
    <w:p>
      <w:pPr>
        <w:pStyle w:val="TextBody"/>
      </w:pPr>
      <w:hyperlink r:id="rId50">
        <w:r>
          <w:rPr>
            <w:rStyle w:val="Hyperlink"/>
          </w:rPr>
          <w:t xml:space="preserve">http://news.cnstock.com/news,bwkx-201910-4437129.htm</w:t>
        </w:r>
      </w:hyperlink>
    </w:p>
    <w:p>
      <w:pPr>
        <w:pStyle w:val="Heading3"/>
      </w:pPr>
      <w:bookmarkStart w:id="51" w:name="我国注重发挥信用手段缓解中小微企业融资难融资贵"/>
      <w:r>
        <w:t xml:space="preserve">我国注重发挥信用手段缓解中小微企业融资难融资贵</w:t>
      </w:r>
      <w:bookmarkEnd w:id="51"/>
    </w:p>
    <w:p>
      <w:pPr>
        <w:pStyle w:val="FirstParagraph"/>
      </w:pPr>
      <w:r>
        <w:t xml:space="preserve">国家发展改革委近日称，我国将深入开展“信易贷”，缓解中小微企业融资难融资贵问题，提高金融服务实体经济质效。根据国家发展改革委、银保监会联合印发的《关于深入开展“信易贷”支持中小微企业融资的通知》，我国将建立健全信用信息归集共享查询机制。依托全国信用信息共享平台，降低银行信息收集成本；完善信用信息采集标准规范，鼓励有条件的地方建设地区性中小企业信用服务平台，明确全国信用信息共享平台应当依法依规并按照公益性原则向金融机构提供信息推送、信用报告查询等服务。</w:t>
      </w:r>
    </w:p>
    <w:p>
      <w:pPr>
        <w:pStyle w:val="TextBody"/>
      </w:pPr>
      <w:r>
        <w:t xml:space="preserve">我国将建立健全中小微企业信用评价体系；支持金融机构创新“信易贷”产品和服务；创新“信易贷”违约风险处置机制，鼓励金融机构依托金融科技建立线上可强制执行公证机制，加快债务纠纷解决速度；依托全国信用信息共享平台对失信债务人开展联合惩戒，严厉打击恶意逃废债务行为，维护金融机构合法权益。</w:t>
      </w:r>
    </w:p>
    <w:p>
      <w:pPr>
        <w:pStyle w:val="TextBody"/>
      </w:pPr>
      <w:hyperlink r:id="rId52">
        <w:r>
          <w:rPr>
            <w:rStyle w:val="Hyperlink"/>
          </w:rPr>
          <w:t xml:space="preserve">http://news.cnstock.com/news,bwkx-197001-4436435.htm</w:t>
        </w:r>
      </w:hyperlink>
    </w:p>
    <w:p>
      <w:pPr>
        <w:pStyle w:val="Heading3"/>
      </w:pPr>
      <w:bookmarkStart w:id="53" w:name="中企承建阿根廷最大光伏发电项目完工"/>
      <w:r>
        <w:t xml:space="preserve">中企承建阿根廷最大光伏发电项目完工</w:t>
      </w:r>
      <w:bookmarkEnd w:id="53"/>
    </w:p>
    <w:p>
      <w:pPr>
        <w:pStyle w:val="FirstParagraph"/>
      </w:pPr>
      <w:r>
        <w:t xml:space="preserve">由中国企业承建的阿根廷高查瑞300兆瓦光伏发电项目机械完工仪式2019年10月1日在胡胡伊省项目现场举行。该项目投入使用后将成为阿根廷最大的光伏发电项目，阿北部高原地区长期缺电的历史将得以改变，后能解决至少6万户阿根廷家庭的用电需求。</w:t>
      </w:r>
    </w:p>
    <w:p>
      <w:pPr>
        <w:pStyle w:val="TextBody"/>
      </w:pPr>
      <w:r>
        <w:t xml:space="preserve">该项目位于胡胡伊省高查瑞地区，项目场址海拔超过4000米，日照资源极为丰富，是全球最适合发展光伏发电的地区之一。2017年，中国电建集团和上海电力建设有限责任公司联合中标这一项目；2018年4月，项目正式开工，设计总装机容量315兆瓦，总合同金额3.9亿美元。项目在建设过程中为当地创造了约1500个直接工作岗位和近万个间接工作岗位，建成后预计每年还将为阿根廷政府带来超过5000万美元的财政收入。</w:t>
      </w:r>
    </w:p>
    <w:p>
      <w:pPr>
        <w:pStyle w:val="TextBody"/>
      </w:pPr>
      <w:hyperlink r:id="rId54">
        <w:r>
          <w:rPr>
            <w:rStyle w:val="Hyperlink"/>
          </w:rPr>
          <w:t xml:space="preserve">http://news.cnstock.com/news,bwkx-201910-4436256.htm</w:t>
        </w:r>
      </w:hyperlink>
    </w:p>
    <w:p>
      <w:pPr>
        <w:pStyle w:val="Heading3"/>
      </w:pPr>
      <w:bookmarkStart w:id="55" w:name="工信部施策促网络安全产业发展"/>
      <w:r>
        <w:t xml:space="preserve">工信部施策促网络安全产业发展</w:t>
      </w:r>
      <w:bookmarkEnd w:id="55"/>
    </w:p>
    <w:p>
      <w:pPr>
        <w:pStyle w:val="FirstParagraph"/>
      </w:pPr>
      <w:r>
        <w:t xml:space="preserve">工信部2019年9月27日发布消息，公开征求对《关于促进网络安全产业发展的指导意见（征求意见稿）》（下称《指导意见》）的意见。《指导意见》目标到2025年，培育形成一批年营收超过20亿元的网络安全企业，形成若干具有国际竞争力的网络安全骨干企业，网络安全产业规模超过2000亿元。</w:t>
      </w:r>
    </w:p>
    <w:p>
      <w:pPr>
        <w:pStyle w:val="TextBody"/>
      </w:pPr>
      <w:r>
        <w:t xml:space="preserve">《指导意见》重点提及资产识别、漏洞挖掘、病毒查杀、边界防护、入侵防御、源码检测、数据保护、追踪溯源等网络安全产品演进升级。《指导意见》同时要求，加强5G、下一代互联网、工业互联网、物联网、车联网等新兴领域网络安全威胁和风险分析，大力推动相关场景下的网络安全技术产品研发。《指导意见》同时明确，要加大对网络安全产业的政策支持力度。</w:t>
      </w:r>
    </w:p>
    <w:p>
      <w:pPr>
        <w:pStyle w:val="TextBody"/>
      </w:pPr>
      <w:hyperlink r:id="rId56">
        <w:r>
          <w:rPr>
            <w:rStyle w:val="Hyperlink"/>
          </w:rPr>
          <w:t xml:space="preserve">http://news.cnstock.com/industry,rdjj-201909-4435545.htm</w:t>
        </w:r>
      </w:hyperlink>
    </w:p>
    <w:p>
      <w:pPr>
        <w:pStyle w:val="Heading3"/>
      </w:pPr>
      <w:bookmarkStart w:id="57" w:name="广电总局力推有线电视网络5g升级"/>
      <w:r>
        <w:t xml:space="preserve">广电总局力推有线电视网络5G升级</w:t>
      </w:r>
      <w:bookmarkEnd w:id="57"/>
    </w:p>
    <w:p>
      <w:pPr>
        <w:pStyle w:val="FirstParagraph"/>
      </w:pPr>
      <w:r>
        <w:t xml:space="preserve">近日，广电总局印发《有线电视网络升级改造技术指导意见》（下称《意见》），提出有线电视网络升级改造应满足互联网接入、高新视频等大带宽业务传送的需求；网络设备应在满足当前业务的基础上，具备承载包括5G、物联网业务在内综合业务承载网平滑演进能力等。</w:t>
      </w:r>
    </w:p>
    <w:p>
      <w:pPr>
        <w:pStyle w:val="TextBody"/>
      </w:pPr>
      <w:hyperlink r:id="rId58">
        <w:r>
          <w:rPr>
            <w:rStyle w:val="Hyperlink"/>
          </w:rPr>
          <w:t xml:space="preserve">http://news.cnstock.com/theme,201910-4437399.htm</w:t>
        </w:r>
      </w:hyperlink>
    </w:p>
    <w:p>
      <w:pPr>
        <w:pStyle w:val="Heading2"/>
      </w:pPr>
      <w:bookmarkStart w:id="59" w:name="并购"/>
      <w:r>
        <w:t xml:space="preserve">并购</w:t>
      </w:r>
      <w:bookmarkEnd w:id="59"/>
    </w:p>
    <w:p>
      <w:pPr>
        <w:pStyle w:val="Heading3"/>
      </w:pPr>
      <w:bookmarkStart w:id="60" w:name="德展健康拟26亿元收购山东金城医药"/>
      <w:r>
        <w:t xml:space="preserve">德展健康拟26亿元收购山东金城医药</w:t>
      </w:r>
      <w:bookmarkEnd w:id="60"/>
    </w:p>
    <w:p>
      <w:pPr>
        <w:pStyle w:val="FirstParagraph"/>
      </w:pPr>
      <w:r>
        <w:t xml:space="preserve">2019年9月27日，山东金城医药集团股份有限公司（以下简称“金城医药”）发布公告称，其25.05%的股权将拟转让给德展大健康股份有限公司（以下简称“德展健康”）。预计本次交易总金额为人民币21亿元-26亿元。交易完成后，德展健康将成为其第一大股东。</w:t>
      </w:r>
    </w:p>
    <w:p>
      <w:pPr>
        <w:pStyle w:val="TextBody"/>
      </w:pPr>
      <w:r>
        <w:t xml:space="preserve">根据半年报，金城医药总资产为54.7亿元，净资产为42.37亿元， 25.05%的股权应为10.61亿元，根据交易金额，此次收购为溢价收购，溢价100%左右。</w:t>
      </w:r>
    </w:p>
    <w:p>
      <w:pPr>
        <w:pStyle w:val="TextBody"/>
      </w:pPr>
      <w:r>
        <w:t xml:space="preserve">德展健康的核心产品是着嘉林药业的 “阿乐”（通用名：阿托伐他汀钙片），阿乐占公司营业收入比例95%以上。根据德展健康半年报，今年上半年，公司实现营业收入9.22亿元，同比下滑44.5%；实现归母净利润2.42亿元，同比下滑45.48%。</w:t>
      </w:r>
    </w:p>
    <w:p>
      <w:pPr>
        <w:pStyle w:val="TextBody"/>
      </w:pPr>
      <w:r>
        <w:t xml:space="preserve">目前，双方已就标的公司股份收购事宜确定初步意向，暂按每股21.36-26.4元的价格，支付方式为现金。德展健康公告表示，此次收购系看好金城医药前景，且出于自身业务整合需要。</w:t>
      </w:r>
    </w:p>
    <w:p>
      <w:pPr>
        <w:pStyle w:val="TextBody"/>
      </w:pPr>
      <w:hyperlink r:id="rId61">
        <w:r>
          <w:rPr>
            <w:rStyle w:val="Hyperlink"/>
          </w:rPr>
          <w:t xml:space="preserve">http://www.ifnews.com/5/detail-44103.html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- 2019年10月11日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d68bf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6" Type="http://schemas.openxmlformats.org/officeDocument/2006/relationships/hyperlink" Target="http://news.cnstock.com/industry,rdjj-201909-4435545.htm" TargetMode="External"/><Relationship Id="rId24" Type="http://schemas.openxmlformats.org/officeDocument/2006/relationships/hyperlink" Target="http://news.cnstock.com/industry,rdjj-201910-4436951.htm" TargetMode="External"/><Relationship Id="rId52" Type="http://schemas.openxmlformats.org/officeDocument/2006/relationships/hyperlink" Target="http://news.cnstock.com/news,bwkx-197001-4436435.htm" TargetMode="External"/><Relationship Id="rId30" Type="http://schemas.openxmlformats.org/officeDocument/2006/relationships/hyperlink" Target="http://news.cnstock.com/news,bwkx-201909-4435446.htm" TargetMode="External"/><Relationship Id="rId45" Type="http://schemas.openxmlformats.org/officeDocument/2006/relationships/hyperlink" Target="http://news.cnstock.com/news,bwkx-201909-4435554.htm" TargetMode="External"/><Relationship Id="rId43" Type="http://schemas.openxmlformats.org/officeDocument/2006/relationships/hyperlink" Target="http://news.cnstock.com/news,bwkx-201909-4435926.htm" TargetMode="External"/><Relationship Id="rId54" Type="http://schemas.openxmlformats.org/officeDocument/2006/relationships/hyperlink" Target="http://news.cnstock.com/news,bwkx-201910-4436256.htm" TargetMode="External"/><Relationship Id="rId28" Type="http://schemas.openxmlformats.org/officeDocument/2006/relationships/hyperlink" Target="http://news.cnstock.com/news,bwkx-201910-4436336.htm" TargetMode="External"/><Relationship Id="rId26" Type="http://schemas.openxmlformats.org/officeDocument/2006/relationships/hyperlink" Target="http://news.cnstock.com/news,bwkx-201910-4436688.htm" TargetMode="External"/><Relationship Id="rId38" Type="http://schemas.openxmlformats.org/officeDocument/2006/relationships/hyperlink" Target="http://news.cnstock.com/news,bwkx-201910-4436709.htm" TargetMode="External"/><Relationship Id="rId50" Type="http://schemas.openxmlformats.org/officeDocument/2006/relationships/hyperlink" Target="http://news.cnstock.com/news,bwkx-201910-4437129.htm" TargetMode="External"/><Relationship Id="rId48" Type="http://schemas.openxmlformats.org/officeDocument/2006/relationships/hyperlink" Target="http://news.cnstock.com/news,bwkx-201910-4437138.htm" TargetMode="External"/><Relationship Id="rId40" Type="http://schemas.openxmlformats.org/officeDocument/2006/relationships/hyperlink" Target="http://news.cnstock.com/news,bwkx-201910-4437203.htm" TargetMode="External"/><Relationship Id="rId35" Type="http://schemas.openxmlformats.org/officeDocument/2006/relationships/hyperlink" Target="http://news.cnstock.com/news,yw-201910-4436583.htm" TargetMode="External"/><Relationship Id="rId58" Type="http://schemas.openxmlformats.org/officeDocument/2006/relationships/hyperlink" Target="http://news.cnstock.com/theme,201910-4437399.htm" TargetMode="External"/><Relationship Id="rId61" Type="http://schemas.openxmlformats.org/officeDocument/2006/relationships/hyperlink" Target="http://www.ifnews.com/5/detail-44103.html" TargetMode="External"/><Relationship Id="rId32" Type="http://schemas.openxmlformats.org/officeDocument/2006/relationships/hyperlink" Target="http://xw.sinoins.com/2019-10/08/content_306834.htm" TargetMode="External"/><Relationship Id="rId9" Type="http://schemas.openxmlformats.org/officeDocument/2006/relationships/hyperlink" Target="http://www.charltonslaw.com.cn/shang-hai-yin-jiang-wei-guo-nei-shi-chang-ti-gong-bai-yin-ji-zhun-ji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news.cnstock.com/industry,rdjj-201909-4435545.htm" TargetMode="External"/><Relationship Id="rId24" Type="http://schemas.openxmlformats.org/officeDocument/2006/relationships/hyperlink" Target="http://news.cnstock.com/industry,rdjj-201910-4436951.htm" TargetMode="External"/><Relationship Id="rId52" Type="http://schemas.openxmlformats.org/officeDocument/2006/relationships/hyperlink" Target="http://news.cnstock.com/news,bwkx-197001-4436435.htm" TargetMode="External"/><Relationship Id="rId30" Type="http://schemas.openxmlformats.org/officeDocument/2006/relationships/hyperlink" Target="http://news.cnstock.com/news,bwkx-201909-4435446.htm" TargetMode="External"/><Relationship Id="rId45" Type="http://schemas.openxmlformats.org/officeDocument/2006/relationships/hyperlink" Target="http://news.cnstock.com/news,bwkx-201909-4435554.htm" TargetMode="External"/><Relationship Id="rId43" Type="http://schemas.openxmlformats.org/officeDocument/2006/relationships/hyperlink" Target="http://news.cnstock.com/news,bwkx-201909-4435926.htm" TargetMode="External"/><Relationship Id="rId54" Type="http://schemas.openxmlformats.org/officeDocument/2006/relationships/hyperlink" Target="http://news.cnstock.com/news,bwkx-201910-4436256.htm" TargetMode="External"/><Relationship Id="rId28" Type="http://schemas.openxmlformats.org/officeDocument/2006/relationships/hyperlink" Target="http://news.cnstock.com/news,bwkx-201910-4436336.htm" TargetMode="External"/><Relationship Id="rId26" Type="http://schemas.openxmlformats.org/officeDocument/2006/relationships/hyperlink" Target="http://news.cnstock.com/news,bwkx-201910-4436688.htm" TargetMode="External"/><Relationship Id="rId38" Type="http://schemas.openxmlformats.org/officeDocument/2006/relationships/hyperlink" Target="http://news.cnstock.com/news,bwkx-201910-4436709.htm" TargetMode="External"/><Relationship Id="rId50" Type="http://schemas.openxmlformats.org/officeDocument/2006/relationships/hyperlink" Target="http://news.cnstock.com/news,bwkx-201910-4437129.htm" TargetMode="External"/><Relationship Id="rId48" Type="http://schemas.openxmlformats.org/officeDocument/2006/relationships/hyperlink" Target="http://news.cnstock.com/news,bwkx-201910-4437138.htm" TargetMode="External"/><Relationship Id="rId40" Type="http://schemas.openxmlformats.org/officeDocument/2006/relationships/hyperlink" Target="http://news.cnstock.com/news,bwkx-201910-4437203.htm" TargetMode="External"/><Relationship Id="rId35" Type="http://schemas.openxmlformats.org/officeDocument/2006/relationships/hyperlink" Target="http://news.cnstock.com/news,yw-201910-4436583.htm" TargetMode="External"/><Relationship Id="rId58" Type="http://schemas.openxmlformats.org/officeDocument/2006/relationships/hyperlink" Target="http://news.cnstock.com/theme,201910-4437399.htm" TargetMode="External"/><Relationship Id="rId61" Type="http://schemas.openxmlformats.org/officeDocument/2006/relationships/hyperlink" Target="http://www.ifnews.com/5/detail-44103.html" TargetMode="External"/><Relationship Id="rId32" Type="http://schemas.openxmlformats.org/officeDocument/2006/relationships/hyperlink" Target="http://xw.sinoins.com/2019-10/08/content_3068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2019-10-11T03:30:01Z</dcterms:created>
  <dcterms:modified xsi:type="dcterms:W3CDTF">2019-10-11T03:30:01Z</dcterms:modified>
</cp:coreProperties>
</file>