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- 2019年10月18日</w:t>
      </w:r>
    </w:p>
    <w:p>
      <w:pPr>
        <w:pStyle w:val="ReadOnline"/>
      </w:pPr>
      <w:hyperlink r:id="rId9">
        <w:r>
          <w:rPr/>
          <w:t>online version</w:t>
        </w:r>
      </w:hyperlink>
    </w:p>
    <w:p>
      <w:pPr>
        <w:pStyle w:val="Title"/>
      </w:pPr>
      <w:r>
        <w:t xml:space="preserve">《关于进一步便利境外机构投资者投资银行间债券市场有关事项的通知》发布  </w:t>
      </w:r>
    </w:p>
    <w:p>
      <w:pPr>
        <w:pStyle w:val="Heading2"/>
      </w:pPr>
      <w:bookmarkStart w:id="21" w:name="简介"/>
      <w:r>
        <w:t xml:space="preserve">简介</w:t>
      </w:r>
      <w:bookmarkEnd w:id="21"/>
    </w:p>
    <w:p>
      <w:pPr>
        <w:pStyle w:val="FirstParagraph"/>
      </w:pPr>
      <w:r>
        <w:t xml:space="preserve">《关于进一步便利境外机构投资者投资银行间债券市场有关事项的通知》发布；《标准化债权类资产认定规则》征求意见，明确标债认定路径；注册提速备案简化，权益类标准化公私募产品获支持；放宽设立条件扩大业务范围，外资银行保险迎开放新规；银保监会统一规范银行保险业行政处罚程序</w:t>
      </w:r>
    </w:p>
    <w:p>
      <w:pPr>
        <w:pStyle w:val="Heading2"/>
      </w:pPr>
      <w:bookmarkStart w:id="22" w:name="资本市场"/>
      <w:r>
        <w:t xml:space="preserve">资本市场</w:t>
      </w:r>
      <w:bookmarkEnd w:id="22"/>
    </w:p>
    <w:p>
      <w:pPr>
        <w:pStyle w:val="Heading3"/>
      </w:pPr>
      <w:bookmarkStart w:id="23" w:name="关于进一步便利境外机构投资者投资银行间债券市场有关事项的通知发布"/>
      <w:r>
        <w:t xml:space="preserve">《关于进一步便利境外机构投资者投资银行间债券市场有关事项的通知》发布</w:t>
      </w:r>
      <w:bookmarkEnd w:id="23"/>
    </w:p>
    <w:p>
      <w:pPr>
        <w:pStyle w:val="FirstParagraph"/>
      </w:pPr>
      <w:r>
        <w:t xml:space="preserve">人民银行和外汇局于2019年10月16日发布《关于进一步便利境外机构投资者投资银行间债券市场有关事项的通知》，规定同一境外机构投资者可以根据自身投资管理需要，将其在合格境外机构投资者（QFII）或人民币合格境外机构投资者（RQFII）项下债券账户和银行间债券市场直接投资项下的债券账户中所持有的银行间市场债券进行双向非交易过户。</w:t>
      </w:r>
    </w:p>
    <w:p>
      <w:pPr>
        <w:pStyle w:val="TextBody"/>
      </w:pPr>
      <w:r>
        <w:t xml:space="preserve">与此同时，同一境外机构投资者QFII/RQFII托管账户内资金与直接投资资金账户内资金可以在境内直接双向划转。而且，同一境外主体通过上述渠道投资银行间市场，只需备案一次。该通知自今年11月15日起实施。</w:t>
      </w:r>
    </w:p>
    <w:p>
      <w:pPr>
        <w:pStyle w:val="TextBody"/>
      </w:pPr>
      <w:hyperlink r:id="rId24">
        <w:r>
          <w:rPr>
            <w:rStyle w:val="Hyperlink"/>
          </w:rPr>
          <w:t xml:space="preserve">http://news.cnstock.com/news,yw-201910-4440126.htm</w:t>
        </w:r>
      </w:hyperlink>
    </w:p>
    <w:p>
      <w:pPr>
        <w:pStyle w:val="Heading3"/>
      </w:pPr>
      <w:bookmarkStart w:id="25" w:name="标准化债权类资产认定规则征求意见明确标债认定路径"/>
      <w:r>
        <w:t xml:space="preserve">《标准化债权类资产认定规则》征求意见，明确标债认定路径</w:t>
      </w:r>
      <w:bookmarkEnd w:id="25"/>
    </w:p>
    <w:p>
      <w:pPr>
        <w:pStyle w:val="FirstParagraph"/>
      </w:pPr>
      <w:r>
        <w:t xml:space="preserve">央行2019年10月12日发布《标准化债权类资产认定规则（征求意见稿）》（下称《认定规则》），列举了标准化债权类资产（下称标债），明确了其他资产认定为标债的路径。该规则由央行会同银保监会、证监会、外汇局等部门共同起草，为资管新规的重要配套细则。</w:t>
      </w:r>
    </w:p>
    <w:p>
      <w:pPr>
        <w:pStyle w:val="TextBody"/>
      </w:pPr>
      <w:r>
        <w:t xml:space="preserve">此次发布的《认定规则》用列举法明确，标债是指依法发行的债券、资产支持证券等固定收益证券。主要包括：国债、中央银行票据、地方政府债券、政府支持机构债券、金融债券、非金融企业债务融资工具、公司债券、企业债券、国际机构债券、同业存单、信贷资产支持证券、资产支持票据、证券交易所挂牌交易的资产支持证券，以及固定收益类公开募集证券投资基金等。而其他债权类资产要被认定为标债，应当同时符合以下五个条件：等分化，可交易；信息披露充分；集中登记，独立托管；公允定价，流动性机制完善；在银行间市场、证券交易所市场等经国务院同意设立的交易市场交易。满足第五项要求的机构，可向央行提出标债认定申请，央行会同金融监管部门进行认定。</w:t>
      </w:r>
    </w:p>
    <w:p>
      <w:pPr>
        <w:pStyle w:val="TextBody"/>
      </w:pPr>
      <w:hyperlink r:id="rId26">
        <w:r>
          <w:rPr>
            <w:rStyle w:val="Hyperlink"/>
          </w:rPr>
          <w:t xml:space="preserve">http://news.cnstock.com/news,yw-201910-4438592.htm</w:t>
        </w:r>
      </w:hyperlink>
    </w:p>
    <w:p>
      <w:pPr>
        <w:pStyle w:val="Heading3"/>
      </w:pPr>
      <w:bookmarkStart w:id="27" w:name="注册提速备案简化权益类标准化公私募产品获支持"/>
      <w:r>
        <w:t xml:space="preserve">注册提速备案简化，权益类标准化公私募产品获支持</w:t>
      </w:r>
      <w:bookmarkEnd w:id="27"/>
    </w:p>
    <w:p>
      <w:pPr>
        <w:pStyle w:val="FirstParagraph"/>
      </w:pPr>
      <w:r>
        <w:t xml:space="preserve">近期公募权益基金产品的申报注册流程有所提速和优化，其中，权益类产品申报注册明显提速。私募方面，基金业协会发布相关文件，针对主动管理的标准化私募资管产品给予简易备案的政策支持。</w:t>
      </w:r>
    </w:p>
    <w:p>
      <w:pPr>
        <w:pStyle w:val="TextBody"/>
      </w:pPr>
      <w:r>
        <w:t xml:space="preserve">日前，基金业协会发布《证券期货经营机构私募集合资产管理计划适用简易备案核查程序条件清单》（下称《清单》），明确了简易备案需满足的七大条件：产品存续期限介于3个月至10年之间；产品结构简单、清晰，不属于结构化产品、FOF产品、MOM产品，未聘请投资顾问；投资范围明确且全部投资于标准化资产，不涉及员工持股计划；投资境内标的资产，不涉及以QDII、QDLP、QDIE等方式进行境外投资；产品开放频率不涉及每个交易日开放；产品估值遵循公允价值计量，不涉及摊余成本计量；资产管理计划管理人恢复开展私募资管业务已满6个月。</w:t>
      </w:r>
    </w:p>
    <w:p>
      <w:pPr>
        <w:pStyle w:val="TextBody"/>
      </w:pPr>
      <w:hyperlink r:id="rId28">
        <w:r>
          <w:rPr>
            <w:rStyle w:val="Hyperlink"/>
          </w:rPr>
          <w:t xml:space="preserve">http://stock.cnstock.com/stock/smk_jjdx/201910/4438376.htm</w:t>
        </w:r>
      </w:hyperlink>
    </w:p>
    <w:p>
      <w:pPr>
        <w:pStyle w:val="Heading3"/>
      </w:pPr>
      <w:bookmarkStart w:id="29" w:name="央行上海总部进一步完善银行间债券市场备案管理"/>
      <w:r>
        <w:t xml:space="preserve">央行上海总部进一步完善银行间债券市场备案管理</w:t>
      </w:r>
      <w:bookmarkEnd w:id="29"/>
    </w:p>
    <w:p>
      <w:pPr>
        <w:pStyle w:val="FirstParagraph"/>
      </w:pPr>
      <w:r>
        <w:t xml:space="preserve">为适应银行间债券市场发展与开放的需要，贯彻落实“放管服”改革要求，营造良好营商环境，中国人民银行上海总部在积极征求相关市场机构和金融基础设施机构等意见建议的基础上，近日制定并发布了《中国人民银行上海总部公告》（〔2019〕第1号），对银行间债券市场备案管理涉及债券投资人员的有关事项进行调整。</w:t>
      </w:r>
    </w:p>
    <w:p>
      <w:pPr>
        <w:pStyle w:val="TextBody"/>
      </w:pPr>
      <w:r>
        <w:t xml:space="preserve">公告取消了银行间债券市场备案环节中关于合格机构投资者提交债券投资人员的银行间债券市场培训证书的规定，进一步简化备案管理，更加便利合格机构投资者进入银行间债券市场。同时，公告要求合格机构投资者加强对债券投资人员的管理培训，建立相应的管理培训制度，增强市场机构在债券投资人员管理培训中的自主性和主体责任。</w:t>
      </w:r>
    </w:p>
    <w:p>
      <w:pPr>
        <w:pStyle w:val="TextBody"/>
      </w:pPr>
      <w:r>
        <w:t xml:space="preserve">公告称，合格机构投资者在债券投资人员管理和培训方面存在严重问题的，中国人民银行上海总部将视情节轻重程度，采取约谈、通报等监管措施。</w:t>
      </w:r>
    </w:p>
    <w:p>
      <w:pPr>
        <w:pStyle w:val="TextBody"/>
      </w:pPr>
      <w:hyperlink r:id="rId30">
        <w:r>
          <w:rPr>
            <w:rStyle w:val="Hyperlink"/>
          </w:rPr>
          <w:t xml:space="preserve">http://news.cnstock.com/news,bwkx-201910-4438862.htm</w:t>
        </w:r>
      </w:hyperlink>
    </w:p>
    <w:p>
      <w:pPr>
        <w:pStyle w:val="Heading3"/>
      </w:pPr>
      <w:bookmarkStart w:id="31" w:name="澳门金管局在澳门建立证券市场仍处于研究阶段"/>
      <w:r>
        <w:t xml:space="preserve">澳门金管局：在澳门建立证券市场仍处于研究阶段</w:t>
      </w:r>
      <w:bookmarkEnd w:id="31"/>
    </w:p>
    <w:p>
      <w:pPr>
        <w:pStyle w:val="FirstParagraph"/>
      </w:pPr>
      <w:r>
        <w:t xml:space="preserve">澳门金融管理局（下称澳门金管局）2019年10月13日发布公告称，为配合《粤港澳大湾区发展规划纲要》（下称《纲要》）提出“研究在澳门创建以人民币计价结算的证券市场”，已委托国际顾问公司对此开展可行性研究。目前，相关研究工作正有序进行。</w:t>
      </w:r>
    </w:p>
    <w:p>
      <w:pPr>
        <w:pStyle w:val="TextBody"/>
      </w:pPr>
      <w:r>
        <w:t xml:space="preserve">澳门金管局表示，考虑到澳门邻近已有多个成熟的金融中心，澳门要在此领域有所突破，达致错位发展，必须充分了解自身的优势。因此，该可行性研究将以“发挥澳门所长、服务国家所需”的原则，并根据国家对大湾区的战略部署作整体性的考虑。后续，特区政府将结合顾问公司研究结果，优化澳门金融发展的规划并有序落实。</w:t>
      </w:r>
    </w:p>
    <w:p>
      <w:pPr>
        <w:pStyle w:val="TextBody"/>
      </w:pPr>
      <w:hyperlink r:id="rId32">
        <w:r>
          <w:rPr>
            <w:rStyle w:val="Hyperlink"/>
          </w:rPr>
          <w:t xml:space="preserve">http://news.cnstock.com/news,bwkx-201910-4438499.htm</w:t>
        </w:r>
      </w:hyperlink>
    </w:p>
    <w:p>
      <w:pPr>
        <w:pStyle w:val="Heading2"/>
      </w:pPr>
      <w:bookmarkStart w:id="33" w:name="保险"/>
      <w:r>
        <w:t xml:space="preserve">保险</w:t>
      </w:r>
      <w:bookmarkEnd w:id="33"/>
    </w:p>
    <w:p>
      <w:pPr>
        <w:pStyle w:val="Heading3"/>
      </w:pPr>
      <w:bookmarkStart w:id="34" w:name="放宽设立条件扩大业务范围外资银行保险迎开放新规"/>
      <w:r>
        <w:t xml:space="preserve">放宽设立条件扩大业务范围，外资银行保险迎开放新规</w:t>
      </w:r>
      <w:bookmarkEnd w:id="34"/>
    </w:p>
    <w:p>
      <w:pPr>
        <w:pStyle w:val="FirstParagraph"/>
      </w:pPr>
      <w:r>
        <w:t xml:space="preserve">国务院关于修改《中华人民共和国外资保险公司管理条例》和《中华人民共和国外资银行管理条例》的决定于2019年10月15日公布。</w:t>
      </w:r>
    </w:p>
    <w:p>
      <w:pPr>
        <w:pStyle w:val="TextBody"/>
      </w:pPr>
      <w:r>
        <w:t xml:space="preserve">此次《外资保险公司管理条例》的修改放宽了外资保险公司准入条件，对申请设立外资保险公司的外国保险公司，取消“经营保险业务30年以上”和“在中国境内已经设立代表机构2年以上”的条件。此外，修改后的《条例》允许外国保险集团公司在中国境内投资设立外资保险公司，允许境外金融机构入股外资保险公司，并授权国务院保险监督管理机构制定具体管理办法。</w:t>
      </w:r>
    </w:p>
    <w:p>
      <w:pPr>
        <w:pStyle w:val="TextBody"/>
      </w:pPr>
      <w:r>
        <w:t xml:space="preserve">此次《外资银行管理条例》的修改内容主要有四个方面：一是放宽对拟设外资银行的股东以及拟设分行的外国银行的条件。二是放宽对外国银行在中国境内同时设立法人银行和外国银行分行的限制。三是进一步放宽对外资银行业务的限制。四是调整对外国银行分行营运资金的监管要求。</w:t>
      </w:r>
    </w:p>
    <w:p>
      <w:pPr>
        <w:pStyle w:val="TextBody"/>
      </w:pPr>
      <w:hyperlink r:id="rId35">
        <w:r>
          <w:rPr>
            <w:rStyle w:val="Hyperlink"/>
          </w:rPr>
          <w:t xml:space="preserve">https://finance.sina.com.cn/roll/2019-10-16/doc-iicezuev2479326.shtml</w:t>
        </w:r>
      </w:hyperlink>
    </w:p>
    <w:p>
      <w:pPr>
        <w:pStyle w:val="Heading3"/>
      </w:pPr>
      <w:bookmarkStart w:id="36" w:name="银保监会统一规范银行保险业行政处罚程序"/>
      <w:r>
        <w:t xml:space="preserve">银保监会统一规范银行保险业行政处罚程序</w:t>
      </w:r>
      <w:bookmarkEnd w:id="36"/>
    </w:p>
    <w:p>
      <w:pPr>
        <w:pStyle w:val="FirstParagraph"/>
      </w:pPr>
      <w:r>
        <w:t xml:space="preserve">银保监会2019年10月12日发布《中国银保监会行政处罚办法（征求意见稿）》（下称《办法》），并征求意见。《办法》共9章99条，对行政处罚案件管辖、立案调查、审理审议、权利告知与听证、决定与执行等内容作出全流程规范。《办法》所指的行政处罚包括：警告；罚款；没收违法所得；责令停业整顿；吊销金融（业务）许可证；取消（撤销）任职资格；限制保险业机构业务范围；责令保险业机构停止接受新业务；撤销外国保险机构驻华代表机构；责令撤换外国保险机构驻华代表机构的首席代表；禁止从事银行业工作或者禁止进入保险业；法律、行政法规规定的其他行政处罚。</w:t>
      </w:r>
    </w:p>
    <w:p>
      <w:pPr>
        <w:pStyle w:val="TextBody"/>
      </w:pPr>
      <w:r>
        <w:t xml:space="preserve">同年10月11日，银保监会就《中国银行保险监督管理委员会行政许可实施程序规定（征求意见稿）》征求意见，同样旨在适应银行保险监管体制改革需要，规范及统一银行业、保险业行政许可实施程序。</w:t>
      </w:r>
    </w:p>
    <w:p>
      <w:pPr>
        <w:pStyle w:val="TextBody"/>
      </w:pPr>
      <w:hyperlink r:id="rId37">
        <w:r>
          <w:rPr>
            <w:rStyle w:val="Hyperlink"/>
          </w:rPr>
          <w:t xml:space="preserve">http://news.cnstock.com/news,yw-201910-4438604.htm</w:t>
        </w:r>
      </w:hyperlink>
    </w:p>
    <w:p>
      <w:pPr>
        <w:pStyle w:val="Heading3"/>
      </w:pPr>
      <w:bookmarkStart w:id="38" w:name="关于加快农业保险高质量发展的指导意见下发"/>
      <w:r>
        <w:t xml:space="preserve">《关于加快农业保险高质量发展的指导意见》下发</w:t>
      </w:r>
      <w:bookmarkEnd w:id="38"/>
    </w:p>
    <w:p>
      <w:pPr>
        <w:pStyle w:val="FirstParagraph"/>
      </w:pPr>
      <w:r>
        <w:t xml:space="preserve">为加快农业保险高质量发展，2019年10月12日，财政部、农业农村部、银保监会、林草局联合下发《关于加快农业保险高质量发展的指导意见》（下称《指导意见》）的通知。</w:t>
      </w:r>
    </w:p>
    <w:p>
      <w:pPr>
        <w:pStyle w:val="TextBody"/>
      </w:pPr>
      <w:r>
        <w:t xml:space="preserve">《指导意见》指出，到2022年，基本建成功能完善、运行规范、基础完备，与农业农村现代化发展阶段相适应、与农户风险保障需求相契合、中央与地方分工负责的多层次农业保险体系。稻谷、小麦、玉米三大主粮作物农业保险的覆盖率达到70%以上，收入保险成为我国农业保险的重要险种，农业保险深度达到1%，农业保险密度达到500元/人。</w:t>
      </w:r>
    </w:p>
    <w:p>
      <w:pPr>
        <w:pStyle w:val="TextBody"/>
      </w:pPr>
      <w:hyperlink r:id="rId39">
        <w:r>
          <w:rPr>
            <w:rStyle w:val="Hyperlink"/>
          </w:rPr>
          <w:t xml:space="preserve">http://news.cnstock.com/news,yw-201910-4438619.htm</w:t>
        </w:r>
      </w:hyperlink>
    </w:p>
    <w:p>
      <w:pPr>
        <w:pStyle w:val="Heading2"/>
      </w:pPr>
      <w:bookmarkStart w:id="40" w:name="税收"/>
      <w:r>
        <w:t xml:space="preserve">税收</w:t>
      </w:r>
      <w:bookmarkEnd w:id="40"/>
    </w:p>
    <w:p>
      <w:pPr>
        <w:pStyle w:val="Heading3"/>
      </w:pPr>
      <w:bookmarkStart w:id="41" w:name="国常会确保为企业减负担为发展增动能"/>
      <w:r>
        <w:t xml:space="preserve">国常会：确保为企业减负担为发展增动能</w:t>
      </w:r>
      <w:bookmarkEnd w:id="41"/>
    </w:p>
    <w:p>
      <w:pPr>
        <w:pStyle w:val="FirstParagraph"/>
      </w:pPr>
      <w:r>
        <w:t xml:space="preserve">国务院总理李克强2019年10月16日主持召开国务院常务会议，听取今年减税降费政策实施汇报，要求确保为企业减负担、为发展增动能；部署以更优营商环境进一步做好利用外资工作。</w:t>
      </w:r>
    </w:p>
    <w:p>
      <w:pPr>
        <w:pStyle w:val="TextBody"/>
      </w:pPr>
      <w:r>
        <w:t xml:space="preserve">会议指出，今年以来各地、各有关部门狠抓减税降费政策落实，前8个月全国减税降费1.5万多亿元。据测算，全年减税降费总额将超过2万亿元。下一步，一要落实落细减税降费政策，及时研究解决企业反映的突出问题，确保制造业等主要行业税负明显降低、建筑业和交通运输业等行业税负有所降低、其他行业税负只减不增。二要指导各地加强财政预算管理，严控一般性支出。落实省级政府主体责任，支持基层财政困难地区保工资、保运转、保基本民生。落实增值税留抵退税分担机制，减轻部分地区财政压力。三要研究进一步推改革、促发展、增就业措施，聚焦鼓励创业创新，研究对制造业重点行业加大研发费用加计扣除比例，增强发展内生动力和后劲。</w:t>
      </w:r>
    </w:p>
    <w:p>
      <w:pPr>
        <w:pStyle w:val="TextBody"/>
      </w:pPr>
      <w:hyperlink r:id="rId42">
        <w:r>
          <w:rPr>
            <w:rStyle w:val="Hyperlink"/>
          </w:rPr>
          <w:t xml:space="preserve">https://finance.sina.com.cn/china/2019-10-17/doc-iicezuev2708830.shtml</w:t>
        </w:r>
      </w:hyperlink>
    </w:p>
    <w:p>
      <w:pPr>
        <w:pStyle w:val="Heading2"/>
      </w:pPr>
      <w:bookmarkStart w:id="43" w:name="知产"/>
      <w:r>
        <w:t xml:space="preserve">知产</w:t>
      </w:r>
      <w:bookmarkEnd w:id="43"/>
    </w:p>
    <w:p>
      <w:pPr>
        <w:pStyle w:val="Heading3"/>
      </w:pPr>
      <w:bookmarkStart w:id="44" w:name="中国专利申请连续8年居首多集中于信息通信等领域"/>
      <w:r>
        <w:t xml:space="preserve">中国专利申请连续8年居首，多集中于信息通信等领域</w:t>
      </w:r>
      <w:bookmarkEnd w:id="44"/>
    </w:p>
    <w:p>
      <w:pPr>
        <w:pStyle w:val="FirstParagraph"/>
      </w:pPr>
      <w:r>
        <w:t xml:space="preserve">世界知识产权组织（WIPO）2019年10月16日发表的数据显示，2018年中国专利申请件数比上年增加12%，达到154万件。占到世界整体的近五成，连续8年排在首位。在人工智能（AI）等最尖端技术的知识产权领域，以中国为代表，亚洲拉动世界的格局日趋明显。世界整体的专利申请件数增加5.2%，达到330万件，创出历史最多。按国家和地区来看，排在中国之后的是分别美国、日本、韩国。排名的前列与上年相同，但日本和美国均比上年减少。</w:t>
      </w:r>
    </w:p>
    <w:p>
      <w:pPr>
        <w:pStyle w:val="TextBody"/>
      </w:pPr>
      <w:r>
        <w:t xml:space="preserve">保护设计自主性等的“外观设计专利权”的注册申请增加130万件，而保护商品和服务名称的“商标权”也增加1430万件，均创出历史最多。AI和自动驾驶等的开发竞争日趋激化，今后为了保护知识产权，申请增加的趋势没有停止的迹象。</w:t>
      </w:r>
    </w:p>
    <w:p>
      <w:pPr>
        <w:pStyle w:val="TextBody"/>
      </w:pPr>
      <w:hyperlink r:id="rId45">
        <w:r>
          <w:rPr>
            <w:rStyle w:val="Hyperlink"/>
          </w:rPr>
          <w:t xml:space="preserve">https://finance.sina.com.cn/chanjing/gsnews/2019-10-17/doc-iicezuev2713037.shtml</w:t>
        </w:r>
      </w:hyperlink>
    </w:p>
    <w:p>
      <w:pPr>
        <w:pStyle w:val="Heading2"/>
      </w:pPr>
      <w:bookmarkStart w:id="46" w:name="行业"/>
      <w:r>
        <w:t xml:space="preserve">行业</w:t>
      </w:r>
      <w:bookmarkEnd w:id="46"/>
    </w:p>
    <w:p>
      <w:pPr>
        <w:pStyle w:val="Heading3"/>
      </w:pPr>
      <w:bookmarkStart w:id="47" w:name="我国首次发布天然气进口价格指数将为lng进口贸易提供定价参考"/>
      <w:r>
        <w:t xml:space="preserve">我国首次发布天然气进口价格指数，将为LNG进口贸易提供定价参考</w:t>
      </w:r>
      <w:bookmarkEnd w:id="47"/>
    </w:p>
    <w:p>
      <w:pPr>
        <w:pStyle w:val="FirstParagraph"/>
      </w:pPr>
      <w:r>
        <w:t xml:space="preserve">上海石油天然气交易中心最新披露，由海关总署全球贸易监测分析中心和上海石油天然气交易中心共同研发的中国LNG综合进口到岸价格2019年10月16日在上海正式发布。这是我国首次发布天然气进口价格指数，将为我国LNG进口贸易提供定价参考。</w:t>
      </w:r>
    </w:p>
    <w:p>
      <w:pPr>
        <w:pStyle w:val="TextBody"/>
      </w:pPr>
      <w:r>
        <w:t xml:space="preserve">数据显示，10月7日-13日，中国LNG综合进口到岸价格为3497元/吨，较上周上涨108元/吨，涨幅3.2%。中国LNG综合进口到岸价格每周将定期发布。</w:t>
      </w:r>
    </w:p>
    <w:p>
      <w:pPr>
        <w:pStyle w:val="TextBody"/>
      </w:pPr>
      <w:hyperlink r:id="rId48">
        <w:r>
          <w:rPr>
            <w:rStyle w:val="Hyperlink"/>
          </w:rPr>
          <w:t xml:space="preserve">http://news.cnstock.com/news,bwkx-201910-4440289.htm</w:t>
        </w:r>
      </w:hyperlink>
    </w:p>
    <w:p>
      <w:pPr>
        <w:pStyle w:val="Heading3"/>
      </w:pPr>
      <w:bookmarkStart w:id="49" w:name="国家电网公司发布泛在电力物联网白皮书2019"/>
      <w:r>
        <w:t xml:space="preserve">国家电网公司发布《泛在电力物联网白皮书2019》</w:t>
      </w:r>
      <w:bookmarkEnd w:id="49"/>
    </w:p>
    <w:p>
      <w:pPr>
        <w:pStyle w:val="FirstParagraph"/>
      </w:pPr>
      <w:r>
        <w:t xml:space="preserve">近日，国家电网有限公司（下称“国网公司”）在京召开发布会，发布《泛在电力物联网白皮书2019》，旨在通过建枢纽、搭平台、促共享，凝聚各方共识，构建开放共建、合作共治、互利共赢的能源生态，共同推进泛在电力物联网建设。</w:t>
      </w:r>
    </w:p>
    <w:p>
      <w:pPr>
        <w:pStyle w:val="TextBody"/>
      </w:pPr>
      <w:r>
        <w:t xml:space="preserve">泛在电力物联网，就是围绕电力系统各环节，充分应用移动互联、人工智能等现代信息技术、先进通信技术，实现电力系统各个环节万物互联、人机交互，具有状态全面感知、信息高效处理、应用便捷灵活特征的智慧服务系统。根据国网公司设定的目标，泛在电力物联网的建设分为两个阶段。第一个阶段，到2021年初步建成泛在电力物联网。第二个阶段，到2024年建成泛在电力物联网。今年重点围绕着力构建能源生态、迭代打造企业中台、协同推进智慧物联、同步推进管理优化4条主线，已明确了57项建设任务和25项综合示范。</w:t>
      </w:r>
    </w:p>
    <w:p>
      <w:pPr>
        <w:pStyle w:val="TextBody"/>
      </w:pPr>
      <w:hyperlink r:id="rId50">
        <w:r>
          <w:rPr>
            <w:rStyle w:val="Hyperlink"/>
          </w:rPr>
          <w:t xml:space="preserve">http://news.cnstock.com/news,bwkx-201910-4438820.htm</w:t>
        </w:r>
      </w:hyperlink>
    </w:p>
    <w:p>
      <w:pPr>
        <w:pStyle w:val="Heading3"/>
      </w:pPr>
      <w:bookmarkStart w:id="51" w:name="cpi高位叠加ppi为负"/>
      <w:r>
        <w:t xml:space="preserve">CPI高位叠加PPI为负</w:t>
      </w:r>
      <w:bookmarkEnd w:id="51"/>
    </w:p>
    <w:p>
      <w:pPr>
        <w:pStyle w:val="FirstParagraph"/>
      </w:pPr>
      <w:r>
        <w:t xml:space="preserve">近日，国家统计局发布了2019年9月份全国居民消费价格指数（CPI）和工业生产者出厂价格指数（PPI）数据。其中，9月CPI同比增长3%，创下近6年以来新高。</w:t>
      </w:r>
    </w:p>
    <w:p>
      <w:pPr>
        <w:pStyle w:val="TextBody"/>
      </w:pPr>
      <w:r>
        <w:t xml:space="preserve">根据国家统计局公布的数据，畜肉类价格同比上涨46.9%，影响CPI上涨约2.03个百分点。其中，猪肉价格上涨69.3%，影响CPI上涨约1.65个百分点。非食品中，受新学期开学影响，教育服务价格上涨1.8%；受换季影响，服装价格上涨0.9%，上述两项合计影响CPI上涨约0.17个百分点；同时，暑期过后出行人数减少，飞机票、旅行社收费和宾馆住宿价格出现下降，降幅分别为14.8%、6%和1.5%，三项合计影响CPI下降约0.14个百分点。此外，交通和通信价格也同比下降2.9%，影响CPI下降约0.35个百分点。</w:t>
      </w:r>
    </w:p>
    <w:p>
      <w:pPr>
        <w:pStyle w:val="TextBody"/>
      </w:pPr>
      <w:r>
        <w:t xml:space="preserve">PPI方面，9月PPI同比下降1.2%，较前值继续回落0.4个百分点，创下2016年7月以来新低。结构拆分来看，9月PPI的下滑主要来自翘尾因素的拖累，9月PPI环比回升0.1个百分点，重回正增长。分结构来看，生产资料同比下降2%，降幅较前值扩大0.7个百分点，连续4个月处于通缩；生活资料同比较前值回升0.4个百分点至1.1%，生活资料的回升主要来自CPI涨价的传导，食品项同比上涨3.3%，较前值回升0.7个百分点。</w:t>
      </w:r>
    </w:p>
    <w:p>
      <w:pPr>
        <w:pStyle w:val="TextBody"/>
      </w:pPr>
      <w:hyperlink r:id="rId52">
        <w:r>
          <w:rPr>
            <w:rStyle w:val="Hyperlink"/>
          </w:rPr>
          <w:t xml:space="preserve">http://www.ifnews.com/17/detail-44391.html</w:t>
        </w:r>
      </w:hyperlink>
    </w:p>
    <w:p>
      <w:pPr>
        <w:pStyle w:val="Heading3"/>
      </w:pPr>
      <w:bookmarkStart w:id="53" w:name="上海临港卫星研制基地北区竣工启用"/>
      <w:r>
        <w:t xml:space="preserve">上海临港卫星研制基地北区竣工启用</w:t>
      </w:r>
      <w:bookmarkEnd w:id="53"/>
    </w:p>
    <w:p>
      <w:pPr>
        <w:pStyle w:val="FirstParagraph"/>
      </w:pPr>
      <w:r>
        <w:t xml:space="preserve">中国科学院微小卫星创新研究院（上海微小卫星工程中心）建设的临港卫星研制基地北区正式竣工启用，同时开工建设南区。</w:t>
      </w:r>
    </w:p>
    <w:p>
      <w:pPr>
        <w:pStyle w:val="TextBody"/>
      </w:pPr>
      <w:r>
        <w:t xml:space="preserve">近日竣工启用的北区，将主要承担通信、导航、遥感等国家装备型号任务的组批生产制造。其中，卫星总装厂房3.6万平方米，拥有7个卫星总装大厅，具备完善的力、热、噪声、微波暗室等环境试验条件，能同时承担30-50颗吨级卫星的研制，并具备同时承担100颗以上微纳卫星的研制能力。</w:t>
      </w:r>
    </w:p>
    <w:p>
      <w:pPr>
        <w:pStyle w:val="TextBody"/>
      </w:pPr>
      <w:r>
        <w:t xml:space="preserve">开工建设的南区，计划建设一栋卫星创新工厂，构建卫星全流程规划管理及云数据支撑平台、面向精益化智慧化卫星AIT平台等5大卫星研制专用和共用平台，支撑未来十年内600余颗商业微纳卫星的批量生产。计划2021年底竣工投产。</w:t>
      </w:r>
    </w:p>
    <w:p>
      <w:pPr>
        <w:pStyle w:val="TextBody"/>
      </w:pPr>
      <w:hyperlink r:id="rId54">
        <w:r>
          <w:rPr>
            <w:rStyle w:val="Hyperlink"/>
          </w:rPr>
          <w:t xml:space="preserve">http://news.cnstock.com/news,bwkx-201910-4438429.htm</w:t>
        </w:r>
      </w:hyperlink>
    </w:p>
    <w:p>
      <w:pPr>
        <w:pStyle w:val="Heading3"/>
      </w:pPr>
      <w:bookmarkStart w:id="55" w:name="财政部出招促科技成果转化转化收益全部留归单位"/>
      <w:r>
        <w:t xml:space="preserve">财政部出招促科技成果转化，转化收益全部留归单位</w:t>
      </w:r>
      <w:bookmarkEnd w:id="55"/>
    </w:p>
    <w:p>
      <w:pPr>
        <w:pStyle w:val="FirstParagraph"/>
      </w:pPr>
      <w:r>
        <w:t xml:space="preserve">财政部日前下发的《关于进一步加大授权力度，促进科技成果转化的通知》（下称《通知》）要求，地方财政部门要把支持科技成果转移转化、推动科技创新作为重要职责，进一步完善科技成果国有资产管理制度。同时，鼓励地方开拓创新，探索符合科技成果国有资产特点的管理模式。</w:t>
      </w:r>
    </w:p>
    <w:p>
      <w:pPr>
        <w:pStyle w:val="TextBody"/>
      </w:pPr>
      <w:r>
        <w:t xml:space="preserve">《通知》要求加大授权力度。中央级研究开发机构、高等院校科技成果作价投资形成国有股权的转让、无偿划转或者对外投资等事项、科技成果作价投资成立企业的国有资产产权登记事项，被授权由中央级研究开发机构、高等院校的主管部门办理。《通知》要求整合科技成果转化涉及的国有资产使用、处置、评估、收益等管理规定。在资产使用和处置方面，中央级研究开发机构、高等院校自主决定科技成果转让、许可或者作价投资，不需报主管部门和财政部审批或备案；在资产评估方面，科技成果转让、许可或者作价投资，由单位自主决定是否进行资产评估；在收益管理方面，科技成果转化获得的收入全部留归单位，纳入单位预算，不上缴国库。</w:t>
      </w:r>
    </w:p>
    <w:p>
      <w:pPr>
        <w:pStyle w:val="TextBody"/>
      </w:pPr>
      <w:hyperlink r:id="rId56">
        <w:r>
          <w:rPr>
            <w:rStyle w:val="Hyperlink"/>
          </w:rPr>
          <w:t xml:space="preserve">http://news.cnstock.com/news,yw-201910-4438366.htm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- 2019年10月18日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fd334f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4" Type="http://schemas.openxmlformats.org/officeDocument/2006/relationships/hyperlink" Target="http://news.cnstock.com/news,bwkx-201910-4438429.htm" TargetMode="External"/><Relationship Id="rId32" Type="http://schemas.openxmlformats.org/officeDocument/2006/relationships/hyperlink" Target="http://news.cnstock.com/news,bwkx-201910-4438499.htm" TargetMode="External"/><Relationship Id="rId50" Type="http://schemas.openxmlformats.org/officeDocument/2006/relationships/hyperlink" Target="http://news.cnstock.com/news,bwkx-201910-4438820.htm" TargetMode="External"/><Relationship Id="rId30" Type="http://schemas.openxmlformats.org/officeDocument/2006/relationships/hyperlink" Target="http://news.cnstock.com/news,bwkx-201910-4438862.htm" TargetMode="External"/><Relationship Id="rId48" Type="http://schemas.openxmlformats.org/officeDocument/2006/relationships/hyperlink" Target="http://news.cnstock.com/news,bwkx-201910-4440289.htm" TargetMode="External"/><Relationship Id="rId56" Type="http://schemas.openxmlformats.org/officeDocument/2006/relationships/hyperlink" Target="http://news.cnstock.com/news,yw-201910-4438366.htm" TargetMode="External"/><Relationship Id="rId26" Type="http://schemas.openxmlformats.org/officeDocument/2006/relationships/hyperlink" Target="http://news.cnstock.com/news,yw-201910-4438592.htm" TargetMode="External"/><Relationship Id="rId37" Type="http://schemas.openxmlformats.org/officeDocument/2006/relationships/hyperlink" Target="http://news.cnstock.com/news,yw-201910-4438604.htm" TargetMode="External"/><Relationship Id="rId39" Type="http://schemas.openxmlformats.org/officeDocument/2006/relationships/hyperlink" Target="http://news.cnstock.com/news,yw-201910-4438619.htm" TargetMode="External"/><Relationship Id="rId24" Type="http://schemas.openxmlformats.org/officeDocument/2006/relationships/hyperlink" Target="http://news.cnstock.com/news,yw-201910-4440126.htm" TargetMode="External"/><Relationship Id="rId28" Type="http://schemas.openxmlformats.org/officeDocument/2006/relationships/hyperlink" Target="http://stock.cnstock.com/stock/smk_jjdx/201910/4438376.htm" TargetMode="External"/><Relationship Id="rId52" Type="http://schemas.openxmlformats.org/officeDocument/2006/relationships/hyperlink" Target="http://www.ifnews.com/17/detail-44391.html" TargetMode="External"/><Relationship Id="rId45" Type="http://schemas.openxmlformats.org/officeDocument/2006/relationships/hyperlink" Target="https://finance.sina.com.cn/chanjing/gsnews/2019-10-17/doc-iicezuev2713037.shtml" TargetMode="External"/><Relationship Id="rId42" Type="http://schemas.openxmlformats.org/officeDocument/2006/relationships/hyperlink" Target="https://finance.sina.com.cn/china/2019-10-17/doc-iicezuev2708830.shtml" TargetMode="External"/><Relationship Id="rId35" Type="http://schemas.openxmlformats.org/officeDocument/2006/relationships/hyperlink" Target="https://finance.sina.com.cn/roll/2019-10-16/doc-iicezuev2479326.shtml" TargetMode="External"/><Relationship Id="rId9" Type="http://schemas.openxmlformats.org/officeDocument/2006/relationships/hyperlink" Target="http://www.charltonslaw.com.cn/guan-yu-jin-yi-bu-bian-li-jing-wai-ji-gou-tou-zi-zhe-tou-zi-yin-hang-jian-zhai-quan-shi-chang-you-guan-shi-xiang-de-tong-zhi-fa-b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4" Type="http://schemas.openxmlformats.org/officeDocument/2006/relationships/hyperlink" Target="http://news.cnstock.com/news,bwkx-201910-4438429.htm" TargetMode="External"/><Relationship Id="rId32" Type="http://schemas.openxmlformats.org/officeDocument/2006/relationships/hyperlink" Target="http://news.cnstock.com/news,bwkx-201910-4438499.htm" TargetMode="External"/><Relationship Id="rId50" Type="http://schemas.openxmlformats.org/officeDocument/2006/relationships/hyperlink" Target="http://news.cnstock.com/news,bwkx-201910-4438820.htm" TargetMode="External"/><Relationship Id="rId30" Type="http://schemas.openxmlformats.org/officeDocument/2006/relationships/hyperlink" Target="http://news.cnstock.com/news,bwkx-201910-4438862.htm" TargetMode="External"/><Relationship Id="rId48" Type="http://schemas.openxmlformats.org/officeDocument/2006/relationships/hyperlink" Target="http://news.cnstock.com/news,bwkx-201910-4440289.htm" TargetMode="External"/><Relationship Id="rId56" Type="http://schemas.openxmlformats.org/officeDocument/2006/relationships/hyperlink" Target="http://news.cnstock.com/news,yw-201910-4438366.htm" TargetMode="External"/><Relationship Id="rId26" Type="http://schemas.openxmlformats.org/officeDocument/2006/relationships/hyperlink" Target="http://news.cnstock.com/news,yw-201910-4438592.htm" TargetMode="External"/><Relationship Id="rId37" Type="http://schemas.openxmlformats.org/officeDocument/2006/relationships/hyperlink" Target="http://news.cnstock.com/news,yw-201910-4438604.htm" TargetMode="External"/><Relationship Id="rId39" Type="http://schemas.openxmlformats.org/officeDocument/2006/relationships/hyperlink" Target="http://news.cnstock.com/news,yw-201910-4438619.htm" TargetMode="External"/><Relationship Id="rId24" Type="http://schemas.openxmlformats.org/officeDocument/2006/relationships/hyperlink" Target="http://news.cnstock.com/news,yw-201910-4440126.htm" TargetMode="External"/><Relationship Id="rId28" Type="http://schemas.openxmlformats.org/officeDocument/2006/relationships/hyperlink" Target="http://stock.cnstock.com/stock/smk_jjdx/201910/4438376.htm" TargetMode="External"/><Relationship Id="rId52" Type="http://schemas.openxmlformats.org/officeDocument/2006/relationships/hyperlink" Target="http://www.ifnews.com/17/detail-44391.html" TargetMode="External"/><Relationship Id="rId45" Type="http://schemas.openxmlformats.org/officeDocument/2006/relationships/hyperlink" Target="https://finance.sina.com.cn/chanjing/gsnews/2019-10-17/doc-iicezuev2713037.shtml" TargetMode="External"/><Relationship Id="rId42" Type="http://schemas.openxmlformats.org/officeDocument/2006/relationships/hyperlink" Target="https://finance.sina.com.cn/china/2019-10-17/doc-iicezuev2708830.shtml" TargetMode="External"/><Relationship Id="rId35" Type="http://schemas.openxmlformats.org/officeDocument/2006/relationships/hyperlink" Target="https://finance.sina.com.cn/roll/2019-10-16/doc-iicezuev247932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2019-10-18T02:23:47Z</dcterms:created>
  <dcterms:modified xsi:type="dcterms:W3CDTF">2019-10-18T02:23:47Z</dcterms:modified>
</cp:coreProperties>
</file>