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法讯 - 中国 - 2019年11月18日</w:t>
      </w:r>
    </w:p>
    <w:p>
      <w:pPr>
        <w:pStyle w:val="ReadOnline"/>
      </w:pPr>
      <w:hyperlink r:id="rId9">
        <w:r>
          <w:rPr/>
          <w:t>online version</w:t>
        </w:r>
      </w:hyperlink>
    </w:p>
    <w:p>
      <w:pPr>
        <w:pStyle w:val="Title"/>
      </w:pPr>
      <w:r>
        <w:t>沪深300股指期权合约及相关规则征求意见</w:t>
      </w:r>
    </w:p>
    <w:p>
      <w:pPr>
        <w:pStyle w:val="Heading2"/>
      </w:pPr>
      <w:bookmarkStart w:id="21" w:name="简介"/>
      <w:r>
        <w:t xml:space="preserve">简介</w:t>
      </w:r>
      <w:bookmarkEnd w:id="21"/>
    </w:p>
    <w:p>
      <w:pPr>
        <w:pStyle w:val="FirstParagraph"/>
      </w:pPr>
      <w:r>
        <w:t xml:space="preserve">沪深300股指期权合约及相关规则征求意见；上市公司再融资规则迎重大修订，定价及锁定期关键条款松绑；人身险精算规定拟修订</w:t>
      </w:r>
    </w:p>
    <w:p>
      <w:pPr>
        <w:pStyle w:val="Heading2"/>
      </w:pPr>
      <w:bookmarkStart w:id="22" w:name="资本市场"/>
      <w:r>
        <w:t xml:space="preserve">资本市场</w:t>
      </w:r>
      <w:bookmarkEnd w:id="22"/>
    </w:p>
    <w:p>
      <w:pPr>
        <w:pStyle w:val="Heading3"/>
      </w:pPr>
      <w:bookmarkStart w:id="23" w:name="沪深300股指期权合约及相关规则征求意见"/>
      <w:r>
        <w:t xml:space="preserve">沪深300股指期权合约及相关规则征求意见</w:t>
      </w:r>
      <w:bookmarkEnd w:id="23"/>
    </w:p>
    <w:p>
      <w:pPr>
        <w:pStyle w:val="FirstParagraph"/>
      </w:pPr>
      <w:r>
        <w:t xml:space="preserve">2019年11月10日，中国金融期货交易所（下称中金所）发布了就沪深300股指期权合约及相关规则向社会征求意见的通知。此次征求意见的内容包括《沪深300股指期权合约》（征求意见稿）、《中国金融期货交易所股指期权合约交易细则》（征求意见稿）、《中国金融期货交易所交易细则》（修订征求意见稿）、《中国金融期货交易所结算细则》（修订征求意见稿）等。</w:t>
      </w:r>
    </w:p>
    <w:p>
      <w:pPr>
        <w:pStyle w:val="TextBody"/>
      </w:pPr>
      <w:r>
        <w:t xml:space="preserve">《沪深300股指期权合约》的征求意见稿规定：沪深300股指期权合约标的为沪深300指数；合约乘数为每点100元；合约类型分为看涨期权和看跌期权；报价单位为指数点，最小变动价位是0.2点；合约月份为当月、下2个月及随后3个季月；行权方式为欧式，买方只可在期权合约到期日当天行权；交割方式为现金交割。</w:t>
      </w:r>
    </w:p>
    <w:p>
      <w:pPr>
        <w:pStyle w:val="TextBody"/>
      </w:pPr>
      <w:r>
        <w:t xml:space="preserve">《中国金融期货交易所股指期权合约交易细则》的征求意见稿共七章，分为总则、合约、交易业务、结算业务、行权与履约、风险管理和附则。</w:t>
      </w:r>
    </w:p>
    <w:p>
      <w:pPr>
        <w:pStyle w:val="TextBody"/>
      </w:pPr>
      <w:r>
        <w:t xml:space="preserve">《中国金融期货交易所交易细则》的修订征求意见稿对第六条、第十八条、第二十八条、第四十二条等进行了修改。其中，新的第二十八条不再要求“结算价是进行当日未平仓合约盈亏结算和计算下一交易日交易价格限制的依据”。</w:t>
      </w:r>
    </w:p>
    <w:p>
      <w:pPr>
        <w:pStyle w:val="TextBody"/>
      </w:pPr>
      <w:hyperlink r:id="rId24">
        <w:r>
          <w:rPr>
            <w:rStyle w:val="Hyperlink"/>
          </w:rPr>
          <w:t xml:space="preserve">http://stock.cnstock.com/stock/smk_gszbs/201911/4450802.htm</w:t>
        </w:r>
      </w:hyperlink>
    </w:p>
    <w:p>
      <w:pPr>
        <w:pStyle w:val="Heading3"/>
      </w:pPr>
      <w:bookmarkStart w:id="25" w:name="上市公司再融资规则迎重大修订定价及锁定期关键条款松绑"/>
      <w:r>
        <w:t xml:space="preserve">上市公司再融资规则迎重大修订，定价及锁定期关键条款松绑</w:t>
      </w:r>
      <w:bookmarkEnd w:id="25"/>
    </w:p>
    <w:p>
      <w:pPr>
        <w:pStyle w:val="FirstParagraph"/>
      </w:pPr>
      <w:r>
        <w:t xml:space="preserve">2019年11月8日，证监会例行发布会上表示，证监会拟对《上市公司证券发行管理办法》（简称《主板再融资办法》）、《创业板上市公司证券发行管理暂行办法》（简称《创业板再融资办法》）及《上市公司非公开发行股票实施细则》（简称《实施细则》）等再融资规则进行修订，并向社会公开征求意见。</w:t>
      </w:r>
    </w:p>
    <w:p>
      <w:pPr>
        <w:pStyle w:val="TextBody"/>
      </w:pPr>
      <w:r>
        <w:t xml:space="preserve">此次拟修订内容主要包括三个方面。一是精简发行条件，拓宽创业板再融资服务覆盖面；二是优化非公开制度安排，支持上市公司引入战略投资者；三是适当延长批文有效期，从6个月延长至12个月，方便上市公司选择发行窗口。将再融资批文有效期。本次修订的最大亮点当属定价和锁定机制，以及定价基准日的限制调整，修订后的规则放宽了再融资发行价格的折扣率，并大幅缩短了持股锁定期，且不适用减持规则的相关限制。</w:t>
      </w:r>
    </w:p>
    <w:p>
      <w:pPr>
        <w:pStyle w:val="TextBody"/>
      </w:pPr>
      <w:hyperlink r:id="rId26">
        <w:r>
          <w:rPr>
            <w:rStyle w:val="Hyperlink"/>
          </w:rPr>
          <w:t xml:space="preserve">http://news.cnstock.com/news,yw-201911-4450528.htm</w:t>
        </w:r>
      </w:hyperlink>
    </w:p>
    <w:p>
      <w:pPr>
        <w:pStyle w:val="Heading3"/>
      </w:pPr>
      <w:bookmarkStart w:id="27" w:name="央企控股上市公司股权激励力度加大"/>
      <w:r>
        <w:t xml:space="preserve">央企控股上市公司股权激励力度加大</w:t>
      </w:r>
      <w:bookmarkEnd w:id="27"/>
    </w:p>
    <w:p>
      <w:pPr>
        <w:pStyle w:val="FirstParagraph"/>
      </w:pPr>
      <w:r>
        <w:t xml:space="preserve">国资委2019年11月11日发布了针对央企控股上市公司股权激励的具体操作指南——《关于进一步做好中央企业控股上市公司股权激励工作有关事项的通知》（简称《通知》）。</w:t>
      </w:r>
    </w:p>
    <w:p>
      <w:pPr>
        <w:pStyle w:val="TextBody"/>
      </w:pPr>
      <w:r>
        <w:t xml:space="preserve">《通知》明确，股权激励对象应当聚焦核心骨干人才队伍，《通知》为股权激励明确了“六定”模型，即定方式、定对象、定比例、定价格、定分配、定业绩，其中还专门为“支持科创板上市公司实施股权激励”提出了操作指南。</w:t>
      </w:r>
    </w:p>
    <w:p>
      <w:pPr>
        <w:pStyle w:val="TextBody"/>
      </w:pPr>
      <w:hyperlink r:id="rId28">
        <w:r>
          <w:rPr>
            <w:rStyle w:val="Hyperlink"/>
          </w:rPr>
          <w:t xml:space="preserve">http://company.cnstock.com/company/scp_gsxw/201911/4451292.htm</w:t>
        </w:r>
      </w:hyperlink>
    </w:p>
    <w:p>
      <w:pPr>
        <w:pStyle w:val="Heading3"/>
      </w:pPr>
      <w:bookmarkStart w:id="29" w:name="私募股权创业投资基金管理人会员信用信息报告工作规则试行发布"/>
      <w:r>
        <w:t xml:space="preserve">《私募股权、创业投资基金管理人会员信用信息报告工作规则（试行）》发布</w:t>
      </w:r>
      <w:bookmarkEnd w:id="29"/>
    </w:p>
    <w:p>
      <w:pPr>
        <w:pStyle w:val="FirstParagraph"/>
      </w:pPr>
      <w:r>
        <w:t xml:space="preserve">2019年11月11日，中国证券投资基金业协会（以下简称“协会”）正式发布《私募股权、创业投资基金管理人会员信用信息报告工作规则（试行）》（以下简称《信用信息报告》），该报告的推出将进一步创新私募股权、创业投资基金行业信用体系的建设模式，引导和支持私募机构会员持续加强信用信息自我积累、管理和运用。</w:t>
      </w:r>
    </w:p>
    <w:p>
      <w:pPr>
        <w:pStyle w:val="TextBody"/>
      </w:pPr>
      <w:r>
        <w:t xml:space="preserve">《信用信息报告》通过私募基金大数据信息管理系统为会员提供信用管理。其通过制定统一的考察维度及指标体系，引导会员主动管理好自身信用信息。该报告从“一性三度”呈现私募股权、创业投资基金会员管理人的展业信息，即管理人的“合规性、稳定度、专业度及透明度”，从合规经营、稳定存续、专业运作、信息披露等四个主要方面展示会员的信用信息情况。同时，增加单独的“投资风格”作为补充，以更好地体现私募股权投资基金、创业投资基金以及私募股权投资类FOF基金、创业投资类FOF基金领域的多元化、多样性特点。</w:t>
      </w:r>
    </w:p>
    <w:p>
      <w:pPr>
        <w:pStyle w:val="TextBody"/>
      </w:pPr>
      <w:hyperlink r:id="rId30">
        <w:r>
          <w:rPr>
            <w:rStyle w:val="Hyperlink"/>
          </w:rPr>
          <w:t xml:space="preserve">http://stock.cnstock.com/stock/smk_jjdx/201911/4451769.htm</w:t>
        </w:r>
      </w:hyperlink>
    </w:p>
    <w:p>
      <w:pPr>
        <w:pStyle w:val="Heading3"/>
      </w:pPr>
      <w:bookmarkStart w:id="31" w:name="上期所就黄金期权合约公开征求意见"/>
      <w:r>
        <w:t xml:space="preserve">上期所就黄金期权合约公开征求意见</w:t>
      </w:r>
      <w:bookmarkEnd w:id="31"/>
    </w:p>
    <w:p>
      <w:pPr>
        <w:pStyle w:val="FirstParagraph"/>
      </w:pPr>
      <w:r>
        <w:t xml:space="preserve">上海期货交易所（下称上期所）于11月11日发布公告，就《上海期货交易所黄金期货期权合约》公开征求意见。</w:t>
      </w:r>
    </w:p>
    <w:p>
      <w:pPr>
        <w:pStyle w:val="TextBody"/>
      </w:pPr>
      <w:r>
        <w:t xml:space="preserve">根据此次公布的黄金期权合约（征求意见稿），黄金期权合约交易单位为1手（1000克）黄金期货合约；最小变动价位为0.02元/克；涨跌停板幅度与黄金期货合约涨跌停板幅度相同；行权价格覆盖黄金期货合约上一交易日结算价上下浮动1.5倍当日涨跌停板幅度对应的价格范围。行权价格≤200元/克，行权价格间距为2元/克；200元/克＜行权价格≤400元/克，行权价格间距为4元/克；行权价格＞400元/克，行权价格间距为8元/克。行权方式为欧式，即到期日买方可以在15:30之前提交行权申请、放弃申请。</w:t>
      </w:r>
    </w:p>
    <w:p>
      <w:pPr>
        <w:pStyle w:val="TextBody"/>
      </w:pPr>
      <w:hyperlink r:id="rId32">
        <w:r>
          <w:rPr>
            <w:rStyle w:val="Hyperlink"/>
          </w:rPr>
          <w:t xml:space="preserve">http://news.cnstock.com/news,bwkx-201911-4451158.htm</w:t>
        </w:r>
      </w:hyperlink>
    </w:p>
    <w:p>
      <w:pPr>
        <w:pStyle w:val="Heading3"/>
      </w:pPr>
      <w:bookmarkStart w:id="33" w:name="郑商所就pta甲醇和菜籽粕期权合约公开征求意见"/>
      <w:r>
        <w:t xml:space="preserve">郑商所就PTA、甲醇和菜籽粕期权合约公开征求意见</w:t>
      </w:r>
      <w:bookmarkEnd w:id="33"/>
    </w:p>
    <w:p>
      <w:pPr>
        <w:pStyle w:val="FirstParagraph"/>
      </w:pPr>
      <w:r>
        <w:t xml:space="preserve">为更好完善PTA、甲醇和菜籽粕期权合约，郑州商品交易所（以下简称郑商所）于2019年11月12日发布通知，对PTA、甲醇和菜籽粕期权合约公开征求意见和建议，截止日期为2019年11月18日。</w:t>
      </w:r>
    </w:p>
    <w:p>
      <w:pPr>
        <w:pStyle w:val="TextBody"/>
      </w:pPr>
      <w:r>
        <w:t xml:space="preserve">根据此次公布的征求意见稿，PTA、甲醇和菜籽粕期权交易单位为1手PTA、甲醇和菜籽粕期货合约，方便投资者对冲期货部位风险；PTA、甲醇和菜籽粕期权最小变动价位设置为0.5元/吨，与白糖期权保持一致，方便投资者掌握；PTA、甲醇和菜籽粕期权最后交易日（到期日）为标的期货合约交割月份前一个月的第3个交易日，与已上市白糖、棉花期权一致，以满足产业客户套保期限需求，避免给交割月运行带来风险；借鉴国际商品期权市场惯例和白糖、棉花期权市场经验，PTA、甲醇和菜籽粕期权行权方式设置为美式，期权买方可在到期日及之前任一交易日行权。</w:t>
      </w:r>
    </w:p>
    <w:p>
      <w:pPr>
        <w:pStyle w:val="TextBody"/>
      </w:pPr>
      <w:hyperlink r:id="rId34">
        <w:r>
          <w:rPr>
            <w:rStyle w:val="Hyperlink"/>
          </w:rPr>
          <w:t xml:space="preserve">http://news.cnstock.com/news,bwkx-201911-4451613.htm</w:t>
        </w:r>
      </w:hyperlink>
    </w:p>
    <w:p>
      <w:pPr>
        <w:pStyle w:val="Heading3"/>
      </w:pPr>
      <w:bookmarkStart w:id="35" w:name="证监会批准郑商所开展纯碱期货交易"/>
      <w:r>
        <w:t xml:space="preserve">证监会批准郑商所开展纯碱期货交易</w:t>
      </w:r>
      <w:bookmarkEnd w:id="35"/>
    </w:p>
    <w:p>
      <w:pPr>
        <w:pStyle w:val="FirstParagraph"/>
      </w:pPr>
      <w:r>
        <w:t xml:space="preserve">证监会近日批准郑州商品交易所开展纯碱期货交易。纯碱期货合约正式挂牌交易时间为2019年12月6日。</w:t>
      </w:r>
    </w:p>
    <w:p>
      <w:pPr>
        <w:pStyle w:val="TextBody"/>
      </w:pPr>
      <w:r>
        <w:t xml:space="preserve">证监会表示，下一步，将督促郑州商品交易所继续做好各项准备工作，确保纯碱期货的平稳推出和健康运行。</w:t>
      </w:r>
    </w:p>
    <w:p>
      <w:pPr>
        <w:pStyle w:val="TextBody"/>
      </w:pPr>
      <w:r>
        <w:t xml:space="preserve">据介绍，纯碱是重要的基础化工原料，广泛应用于建材、石油化工、印染、冶金和食品加工等领域。我国是全球最大的纯碱生产国和消费国。开展纯碱期货交易，有助于完善纯碱价格形成机制，满足产业链企业的风险管理需求，促进相关主体健康稳定发展。</w:t>
      </w:r>
    </w:p>
    <w:p>
      <w:pPr>
        <w:pStyle w:val="TextBody"/>
      </w:pPr>
      <w:hyperlink r:id="rId36">
        <w:r>
          <w:rPr>
            <w:rStyle w:val="Hyperlink"/>
          </w:rPr>
          <w:t xml:space="preserve">http://news.cnstock.com/industry,rdjj-201911-4450543.htm</w:t>
        </w:r>
      </w:hyperlink>
    </w:p>
    <w:p>
      <w:pPr>
        <w:pStyle w:val="Heading3"/>
      </w:pPr>
      <w:bookmarkStart w:id="37" w:name="中国证监会国际顾问委员会第十六次会议在北京召开"/>
      <w:r>
        <w:t xml:space="preserve">中国证监会国际顾问委员会第十六次会议在北京召开</w:t>
      </w:r>
      <w:bookmarkEnd w:id="37"/>
    </w:p>
    <w:p>
      <w:pPr>
        <w:pStyle w:val="FirstParagraph"/>
      </w:pPr>
      <w:r>
        <w:t xml:space="preserve">中国证监会国际顾问委员会（简称顾委会）第十六次会议于2019年11月10日-11日在北京召开。会议期间，中共中央政治局委员、国务院副总理刘鹤会见了参会的顾委会委员和嘉宾，财政部、人民银行、银保监会、证监会和外汇局等部门有关负责同志参加了会见。</w:t>
      </w:r>
    </w:p>
    <w:p>
      <w:pPr>
        <w:pStyle w:val="TextBody"/>
      </w:pPr>
      <w:r>
        <w:t xml:space="preserve">顾委会是中国证监会的专家咨询机构，于2004年6月经国务院批准设立，由境外金融监管官员、金融机构高管以及知名的专家学者担任成员，顾委会每年召开一次会议。</w:t>
      </w:r>
    </w:p>
    <w:p>
      <w:pPr>
        <w:pStyle w:val="TextBody"/>
      </w:pPr>
      <w:r>
        <w:t xml:space="preserve">本次顾委会会议的主题为“加强基础性制度建设，深化资本市场改革开放”。会议围绕当前国际经济金融形势以及中国资本市场改革发展和监管重点任务，研讨了科创板及发行注册制改革、开放条件下跨境资本流动的监测监管、证券监管执法的有效震慑和投资者保护等议题。</w:t>
      </w:r>
    </w:p>
    <w:p>
      <w:pPr>
        <w:pStyle w:val="TextBody"/>
      </w:pPr>
      <w:hyperlink r:id="rId38">
        <w:r>
          <w:rPr>
            <w:rStyle w:val="Hyperlink"/>
          </w:rPr>
          <w:t xml:space="preserve">http://news.cnstock.com/news,bwkx-201911-4451690.htm</w:t>
        </w:r>
      </w:hyperlink>
    </w:p>
    <w:p>
      <w:pPr>
        <w:pStyle w:val="Heading3"/>
      </w:pPr>
      <w:bookmarkStart w:id="39" w:name="银保监会就外资银行行政许可事项实施办法征求意见"/>
      <w:r>
        <w:t xml:space="preserve">银保监会就外资银行行政许可事项实施办法征求意见</w:t>
      </w:r>
      <w:bookmarkEnd w:id="39"/>
    </w:p>
    <w:p>
      <w:pPr>
        <w:pStyle w:val="FirstParagraph"/>
      </w:pPr>
      <w:r>
        <w:t xml:space="preserve">为持续推进银行业对外开放措施落地实施，不断将“放管服”改革推深做实，强化外资银行的监督管理，银保监会起草了《中国银保监会外资银行行政许可事项实施办法（征求意见稿）》（下称《征求意见稿》）。</w:t>
      </w:r>
    </w:p>
    <w:p>
      <w:pPr>
        <w:pStyle w:val="TextBody"/>
      </w:pPr>
      <w:r>
        <w:t xml:space="preserve">《征求意见稿》共7章、146条。主要修订有以下三方面：一是持续推进银行业对外开放措施依法落地；二是持续推进简政放权、放管结合、优化营商环境；三是进一步强化外资银行的监督管理。</w:t>
      </w:r>
    </w:p>
    <w:p>
      <w:pPr>
        <w:pStyle w:val="TextBody"/>
      </w:pPr>
      <w:hyperlink r:id="rId40">
        <w:r>
          <w:rPr>
            <w:rStyle w:val="Hyperlink"/>
          </w:rPr>
          <w:t xml:space="preserve">http://news.cnstock.com/news,jg-201911-4450560.htm</w:t>
        </w:r>
      </w:hyperlink>
    </w:p>
    <w:p>
      <w:pPr>
        <w:pStyle w:val="Heading2"/>
      </w:pPr>
      <w:bookmarkStart w:id="41" w:name="保险"/>
      <w:r>
        <w:t xml:space="preserve">保险</w:t>
      </w:r>
      <w:bookmarkEnd w:id="41"/>
    </w:p>
    <w:p>
      <w:pPr>
        <w:pStyle w:val="Heading3"/>
      </w:pPr>
      <w:bookmarkStart w:id="42" w:name="人身险精算规定拟修订"/>
      <w:r>
        <w:t xml:space="preserve">人身险精算规定拟修订</w:t>
      </w:r>
      <w:bookmarkEnd w:id="42"/>
    </w:p>
    <w:p>
      <w:pPr>
        <w:pStyle w:val="FirstParagraph"/>
      </w:pPr>
      <w:r>
        <w:t xml:space="preserve">为完善人身保险业相关精算规定，银保监会前期就《关于修订人身保险有关精算规定的通知》（下称《通知》）广泛征求了全行业意见。</w:t>
      </w:r>
    </w:p>
    <w:p>
      <w:pPr>
        <w:pStyle w:val="TextBody"/>
      </w:pPr>
      <w:r>
        <w:t xml:space="preserve">《普通型人身保险精算规定》（下称《规定》）是此次修订的重点。《规定》的征求意见稿是对普通型人身险产品沿用了20年的《关于下发有关精算规定的通知》（下称“90号文”）的一次整体修订，以使其与我国当前人身险行业的发展更匹配。</w:t>
      </w:r>
    </w:p>
    <w:p>
      <w:pPr>
        <w:pStyle w:val="TextBody"/>
      </w:pPr>
      <w:r>
        <w:t xml:space="preserve">此次《通知》的修订，还补充了保证续保产品的相关精算规定，要求含有保证续保条款及保证费率的普通型人身险产品在计提未到期责任准备金外，还需要计提保证责任的额外责任准备金。</w:t>
      </w:r>
    </w:p>
    <w:p>
      <w:pPr>
        <w:pStyle w:val="TextBody"/>
      </w:pPr>
      <w:hyperlink r:id="rId43">
        <w:r>
          <w:rPr>
            <w:rStyle w:val="Hyperlink"/>
          </w:rPr>
          <w:t xml:space="preserve">http://news.cnstock.com/news,yw-201911-4451321.htm</w:t>
        </w:r>
      </w:hyperlink>
    </w:p>
    <w:p>
      <w:pPr>
        <w:pStyle w:val="Heading3"/>
      </w:pPr>
      <w:bookmarkStart w:id="44" w:name="新版健康保险管理办法出台六方面更新值得关注"/>
      <w:r>
        <w:t xml:space="preserve">新版《健康保险管理办法》出台，六方面更新值得关注</w:t>
      </w:r>
      <w:bookmarkEnd w:id="44"/>
    </w:p>
    <w:p>
      <w:pPr>
        <w:pStyle w:val="FirstParagraph"/>
      </w:pPr>
      <w:r>
        <w:t xml:space="preserve">11月12日，银保监会发布2019年第3号令称，《健康保险管理办法》已经中国银保监会2018年第6次主席会议通过。现予公布，自2019年12月1日起施行。</w:t>
      </w:r>
    </w:p>
    <w:p>
      <w:pPr>
        <w:pStyle w:val="TextBody"/>
      </w:pPr>
      <w:r>
        <w:t xml:space="preserve">《办法》共九章七十二条，主要修改了以下六个方面：一是调整对象和主旨，按照国务院办公厅文件有关精神，对健康保险定义和种类进行完善，将医疗意外保险纳入健康保险。二是产品规范与监管方面，明确除健康保险公司外，其他保险公司、相互保险组织开展健康保险必须设立专门事业部，能够独立核算；明确医疗保险、疾病保险和医疗意外保险产品不得包含生存保险责任，护理保险只能以生活能力障碍引发护理需求作为赔付条件。三是销售与经营监管方面，明确长期医疗保险可以进行费率调整；放开在医疗机构场所销售健康保险产品的限制。四是健康管理与合作方面，将健康保险与健康管理相衔接；鼓励保险公司在医保合作中参与医疗控费，规范相关医疗行为。五是信息技术与健康保险方面，明确在某些情况下，保险公司可以通过互联网对被保险人的数字化理赔材料进行审核；鼓励保险公司与医疗机构、基本医保部门信息对接和数据共享。六是扩大适用范国。根据健康保险发展实践需要，《办法》将保险中介机构及其从业人员销售健康保险产品，以及相互保险组织经营健康保险业务纳入适用范围。</w:t>
      </w:r>
    </w:p>
    <w:p>
      <w:pPr>
        <w:pStyle w:val="TextBody"/>
      </w:pPr>
      <w:hyperlink r:id="rId45">
        <w:r>
          <w:rPr>
            <w:rStyle w:val="Hyperlink"/>
          </w:rPr>
          <w:t xml:space="preserve">http://news.cnstock.com/news,bwkx-201911-4451564.htm</w:t>
        </w:r>
      </w:hyperlink>
    </w:p>
    <w:p>
      <w:pPr>
        <w:pStyle w:val="Heading2"/>
      </w:pPr>
      <w:bookmarkStart w:id="46" w:name="税收"/>
      <w:r>
        <w:t xml:space="preserve">税收</w:t>
      </w:r>
      <w:bookmarkEnd w:id="46"/>
    </w:p>
    <w:p>
      <w:pPr>
        <w:pStyle w:val="Heading3"/>
      </w:pPr>
      <w:bookmarkStart w:id="47" w:name="深圳今起调整普通住房认定标准"/>
      <w:r>
        <w:t xml:space="preserve">深圳今起调整普通住房认定标准</w:t>
      </w:r>
      <w:bookmarkEnd w:id="47"/>
    </w:p>
    <w:p>
      <w:pPr>
        <w:pStyle w:val="FirstParagraph"/>
      </w:pPr>
      <w:r>
        <w:t xml:space="preserve">2019年11月11日起，深圳市享受“满两年免征增值税”优惠政策的普通住房认定标准正式调整为：同时满足小区容积率高于1.0、单套建筑面积144平方米以下的住宅。原普通住房需满足的“实际成交价低于所在区域普通住房价格标准”的“价格线”被取消。</w:t>
      </w:r>
    </w:p>
    <w:p>
      <w:pPr>
        <w:pStyle w:val="TextBody"/>
      </w:pPr>
      <w:r>
        <w:t xml:space="preserve">深圳自2015年10月1日以来一直执行《享受优惠政策普通住房价格标准》，其中，南山区总价在490（含）万以下、福田区总价在470（含）万以下、罗湖区总价在390（含）万以上等才算普通住宅，超过普通住宅价格的，需要按照“豪宅”标准缴纳差额增值税。新标准出台之后，小区容积率高于1.0、单套建筑面积144平方米以下，且持有满两年的住宅，即便成交价格高于所在区域普通住房价格标准，也不再属于“豪宅”，这部分税率高达5%的差额增值税将免除。</w:t>
      </w:r>
    </w:p>
    <w:p>
      <w:pPr>
        <w:pStyle w:val="TextBody"/>
      </w:pPr>
      <w:hyperlink r:id="rId48">
        <w:r>
          <w:rPr>
            <w:rStyle w:val="Hyperlink"/>
          </w:rPr>
          <w:t xml:space="preserve">http://news.cnstock.com/news,bwkx-201911-4451080.htm</w:t>
        </w:r>
      </w:hyperlink>
    </w:p>
    <w:p>
      <w:pPr>
        <w:pStyle w:val="Heading2"/>
      </w:pPr>
      <w:bookmarkStart w:id="49" w:name="知产"/>
      <w:r>
        <w:t xml:space="preserve">知产</w:t>
      </w:r>
      <w:bookmarkEnd w:id="49"/>
    </w:p>
    <w:p>
      <w:pPr>
        <w:pStyle w:val="Heading3"/>
      </w:pPr>
      <w:bookmarkStart w:id="50" w:name="中国国际高新技术成果交易会举行"/>
      <w:r>
        <w:t xml:space="preserve">中国国际高新技术成果交易会举行</w:t>
      </w:r>
      <w:bookmarkEnd w:id="50"/>
    </w:p>
    <w:p>
      <w:pPr>
        <w:pStyle w:val="FirstParagraph"/>
      </w:pPr>
      <w:r>
        <w:t xml:space="preserve">第二十一届中国国际高新技术成果交易会（下称高交会）2019年11月13日在深圳拉开帷幕，参展企业和机构将发布10000多项新产品、新技术。</w:t>
      </w:r>
    </w:p>
    <w:p>
      <w:pPr>
        <w:pStyle w:val="TextBody"/>
      </w:pPr>
      <w:r>
        <w:t xml:space="preserve">本届高交会有44个国家和国际组织、68个境外团组参展，参展国家数量创历史新高。本届高交会重点展示人工智能、智能制造、智能家居、智能驾驶、5G商用、工业互联网、云计算、区块链技术。</w:t>
      </w:r>
    </w:p>
    <w:p>
      <w:pPr>
        <w:pStyle w:val="TextBody"/>
      </w:pPr>
      <w:hyperlink r:id="rId51">
        <w:r>
          <w:rPr>
            <w:rStyle w:val="Hyperlink"/>
          </w:rPr>
          <w:t xml:space="preserve">http://news.cnstock.com/industry,rdjj-201911-4452264.htm</w:t>
        </w:r>
      </w:hyperlink>
    </w:p>
    <w:p>
      <w:pPr>
        <w:pStyle w:val="Heading2"/>
      </w:pPr>
      <w:bookmarkStart w:id="52" w:name="行业"/>
      <w:r>
        <w:t xml:space="preserve">行业</w:t>
      </w:r>
      <w:bookmarkEnd w:id="52"/>
    </w:p>
    <w:p>
      <w:pPr>
        <w:pStyle w:val="Heading3"/>
      </w:pPr>
      <w:bookmarkStart w:id="53" w:name="工信部出台支持海南自贸区自贸港建设实施方案"/>
      <w:r>
        <w:t xml:space="preserve">工信部出台支持海南自贸区自贸港建设实施方案</w:t>
      </w:r>
      <w:bookmarkEnd w:id="53"/>
    </w:p>
    <w:p>
      <w:pPr>
        <w:pStyle w:val="FirstParagraph"/>
      </w:pPr>
      <w:r>
        <w:t xml:space="preserve">近日，工信部印发《支持海南建设自由贸易试验区和中国特色自由贸易港的实施方案》（以下简称《实施方案》）。《实施方案》指出，要支持海南扩大国际交流合作，形成开放新格局，支持海南发展优势产业，支持海南完善信息网络基础设施，建设数字海南。从支持洋浦开发区打造“数字自贸港”、支持发展区块链产业等17个具体项目着手，支持海南自贸区、自贸港建设。</w:t>
      </w:r>
    </w:p>
    <w:p>
      <w:pPr>
        <w:pStyle w:val="TextBody"/>
      </w:pPr>
      <w:r>
        <w:t xml:space="preserve">《实施方案》指出，工信部支持海南建设互联网国际合作试验区，探索国际服务外包等跨境业务，重点发展跨境电商、国际金融科技、数字文创等业态，打造枢纽型国际化数字自由贸易港；支持海南发展优势产业，壮大实体经济；支持海南发展区块链产业，引导区块链领域的龙头企业、研究机构落地海南，在区块链研发应用等方面开展创新实践；支持海南完善信息网络基础设施，建设数字海南；支持海南建设“新能源汽车展示发布基地”、“新能源汽车测试评价平台”等。</w:t>
      </w:r>
    </w:p>
    <w:p>
      <w:pPr>
        <w:pStyle w:val="TextBody"/>
      </w:pPr>
      <w:hyperlink r:id="rId54">
        <w:r>
          <w:rPr>
            <w:rStyle w:val="Hyperlink"/>
          </w:rPr>
          <w:t xml:space="preserve">http://news.cnstock.com/news,bwkx-201911-4450588.htm</w:t>
        </w:r>
      </w:hyperlink>
    </w:p>
    <w:p>
      <w:pPr>
        <w:pStyle w:val="Heading3"/>
      </w:pPr>
      <w:bookmarkStart w:id="55" w:name="中国人民银行上海总部发布金融支持长三角g60科创走廊先进制造业高质量发展综合服务方案"/>
      <w:r>
        <w:t xml:space="preserve">中国人民银行上海总部发布《金融支持长三角G60科创走廊先进制造业高质量发展综合服务方案》</w:t>
      </w:r>
      <w:bookmarkEnd w:id="55"/>
    </w:p>
    <w:p>
      <w:pPr>
        <w:pStyle w:val="FirstParagraph"/>
      </w:pPr>
      <w:r>
        <w:t xml:space="preserve">11月8日，中国人民银行上海总部发布了《金融支持长三角G60科创走廊先进制造业高质量发展综合服务方案》。以15条政策举措，助推长三角G60科创走廊产融结合。</w:t>
      </w:r>
    </w:p>
    <w:p>
      <w:pPr>
        <w:pStyle w:val="TextBody"/>
      </w:pPr>
      <w:r>
        <w:t xml:space="preserve">根据上述方案，未来将重点支持人工智能、集成电路、生物医药、高端装备、新能源、新材料、新能源汽车等七大产业的先进制造业企业发展。</w:t>
      </w:r>
    </w:p>
    <w:p>
      <w:pPr>
        <w:pStyle w:val="TextBody"/>
      </w:pPr>
      <w:r>
        <w:t xml:space="preserve">为落实“金融支持G60科创走廊15条”，长三角G60科创走廊与工商银行、农业银行、中国银行、建设银行等12家商业银行签订《金融支持长三角G60科创走廊先进制造业高质量发展综合服务方案合作协议》，与太平投资、国际集团、国盛集团等7家投资公司签订产业基金战略合作协议，上线了长三角G60科创走廊综合金融服务平台。</w:t>
      </w:r>
    </w:p>
    <w:p>
      <w:pPr>
        <w:pStyle w:val="TextBody"/>
      </w:pPr>
      <w:hyperlink r:id="rId56">
        <w:r>
          <w:rPr>
            <w:rStyle w:val="Hyperlink"/>
          </w:rPr>
          <w:t xml:space="preserve">http://news.cnstock.com/news,yw-201911-4450538.htm</w:t>
        </w:r>
      </w:hyperlink>
    </w:p>
    <w:p>
      <w:pPr>
        <w:pStyle w:val="Heading3"/>
      </w:pPr>
      <w:bookmarkStart w:id="57" w:name="交通环保等领域项目最低资本金比例下调"/>
      <w:r>
        <w:t xml:space="preserve">交通环保等领域项目最低资本金比例下调</w:t>
      </w:r>
      <w:bookmarkEnd w:id="57"/>
    </w:p>
    <w:p>
      <w:pPr>
        <w:pStyle w:val="FirstParagraph"/>
      </w:pPr>
      <w:r>
        <w:t xml:space="preserve">2019年11月13日的国务院常务会议决定，完善固定资产投资项目资本金制度，做到有保有控、区别对待，促进有效投资和加强风险防范有机结合。</w:t>
      </w:r>
    </w:p>
    <w:p>
      <w:pPr>
        <w:pStyle w:val="TextBody"/>
      </w:pPr>
      <w:r>
        <w:t xml:space="preserve">会议提出，降低部分基础设施项目最低资本金比例。将港口、沿海及内河航运项目资本金最低比例由25%降至20%。对补短板的公路、铁路、城建、物流、生态环保、社会民生等方面基础设施项目，在投资回报机制明确、收益可靠、风险可控前提下，可适当降低资本金最低比例，下调幅度不超过5个百分点。此次国家再次下调部分基础设施项目最低资本金比例，意味着铁路、公路等交通项目最低资本金比例有可能降至15%左右。</w:t>
      </w:r>
    </w:p>
    <w:p>
      <w:pPr>
        <w:pStyle w:val="TextBody"/>
      </w:pPr>
      <w:r>
        <w:t xml:space="preserve">会议还强调，要严格规范管理，强化风险防范。项目借贷资金和不合规的股东借款、“名股实债”等不得作为项目资本金，筹措资本金不得违规增加地方政府隐性债务，不得违反国有企业资产负债率相关要求，不得拖欠工程款。</w:t>
      </w:r>
    </w:p>
    <w:p>
      <w:pPr>
        <w:pStyle w:val="TextBody"/>
      </w:pPr>
      <w:hyperlink r:id="rId58">
        <w:r>
          <w:rPr>
            <w:rStyle w:val="Hyperlink"/>
          </w:rPr>
          <w:t xml:space="preserve">http://news.cnstock.com/news,yw-201911-4452233.htm</w:t>
        </w:r>
      </w:hyperlink>
    </w:p>
    <w:p>
      <w:pPr>
        <w:pStyle w:val="Heading3"/>
      </w:pPr>
      <w:bookmarkStart w:id="59" w:name="十部门发文推进机制砂石行业高质量发展"/>
      <w:r>
        <w:t xml:space="preserve">十部门发文推进机制砂石行业高质量发展</w:t>
      </w:r>
      <w:bookmarkEnd w:id="59"/>
    </w:p>
    <w:p>
      <w:pPr>
        <w:pStyle w:val="FirstParagraph"/>
      </w:pPr>
      <w:r>
        <w:t xml:space="preserve">为贯彻落实《国务院办公厅关于促进建材工业稳增长调结构增效益的指导意见》（国办发〔2016〕34号）和《建材工业发展规划（2016-2020年）》（工信部规〔2016〕315号），推进机制砂石行业高质量发展，工业和信息化部、国家发展改革委及自然资源部等十部门提出《关于推进机制砂石行业高质量发展的若干意见》。</w:t>
      </w:r>
    </w:p>
    <w:p>
      <w:pPr>
        <w:pStyle w:val="TextBody"/>
      </w:pPr>
      <w:r>
        <w:t xml:space="preserve">文件提出的发展目标为：到2025年，形成较为完善合理的机制砂石供应保障体系，产品质量符合GB/T 14684《建设用砂》等有关要求。文件还提出，推动大数据、人工智能、工业互联网等在机制砂石行业应用，提升自动化、智能化、网络化水平。并且要坚持需求牵引和创新驱动相结合，促进机制砂石企业和下游用户紧密衔接，加快发展铁路、核电、水利等重点工程用高品质机制砂石，以及机场跑道、海洋工程、污水处理、耐磨地坪等特种砂石产品。推动机制砂石、生态农业、生态林业、生态酒店、生态旅游为一体的生态区建设，加快一二三产业融合发展。</w:t>
      </w:r>
    </w:p>
    <w:p>
      <w:pPr>
        <w:pStyle w:val="TextBody"/>
      </w:pPr>
      <w:hyperlink r:id="rId60">
        <w:r>
          <w:rPr>
            <w:rStyle w:val="Hyperlink"/>
          </w:rPr>
          <w:t xml:space="preserve">http://news.cnstock.com/news,bwkx-201911-4451179.htm</w:t>
        </w:r>
      </w:hyperlink>
    </w:p>
    <w:p>
      <w:pPr>
        <w:pStyle w:val="Heading2"/>
      </w:pPr>
      <w:bookmarkStart w:id="61" w:name="并购"/>
      <w:r>
        <w:t xml:space="preserve">并购</w:t>
      </w:r>
      <w:bookmarkEnd w:id="61"/>
    </w:p>
    <w:p>
      <w:pPr>
        <w:pStyle w:val="Heading3"/>
      </w:pPr>
      <w:bookmarkStart w:id="62" w:name="上海莱士斥资132亿元并购欲回归主营业务自救"/>
      <w:r>
        <w:t xml:space="preserve">上海莱士斥资132亿元并购，欲回归主营业务自救</w:t>
      </w:r>
      <w:bookmarkEnd w:id="62"/>
    </w:p>
    <w:p>
      <w:pPr>
        <w:pStyle w:val="FirstParagraph"/>
      </w:pPr>
      <w:r>
        <w:t xml:space="preserve">2019年11月13日晚间，上海莱士发布公告表示，其斥资132亿元收购血液制品巨头基立福（Grifols）公司所持有的Grifols Diagnostic Solutions Inc.（以下简称“GDS”）45%的股权的并购计划，获得有条件通过，其股票也将于11月4日复牌。不过，其上市公司控制权稳定性问题被证监会重点关注。</w:t>
      </w:r>
    </w:p>
    <w:p>
      <w:pPr>
        <w:pStyle w:val="TextBody"/>
      </w:pPr>
      <w:r>
        <w:t xml:space="preserve">公开资料显示，基立福是全球排名前三的血液制品巨头，其在输血行业已有75年的发展历史。GDS为基立福从事血液检测业务的子公司，其三大血液检测业务在全球市场均占据重要地位，其中核酸检测业务排名全球第一，2017年全球市场占有率约为55%。</w:t>
      </w:r>
    </w:p>
    <w:p>
      <w:pPr>
        <w:pStyle w:val="TextBody"/>
      </w:pPr>
      <w:r>
        <w:t xml:space="preserve">2018年度，上海莱士归属母公司股东的净亏损为15.18亿元，其中有超过11亿元的亏损是因其沉迷于证券投资所致。其停止证券投资后，截至2019年9月30日，该公司实现营业收入19.16亿元，同比增长35.96%；实现归母净利润6.06亿元，同比增长146.87%。</w:t>
      </w:r>
    </w:p>
    <w:p>
      <w:pPr>
        <w:pStyle w:val="TextBody"/>
      </w:pPr>
      <w:r>
        <w:t xml:space="preserve">对于此次收购GDS的初衷，上海莱士表示，GDS与公司的重组，将会大大提升公司在血液检测市场方面的实力与行业知名度，同时也能弥补国内血液检测市场产品品类较少，技术能力不高的不足。</w:t>
      </w:r>
    </w:p>
    <w:p>
      <w:pPr>
        <w:pStyle w:val="TextBody"/>
      </w:pPr>
      <w:r>
        <w:t xml:space="preserve">此次收购标的存在高商誉的问题，截至2018年9月末GDS的商誉账面价值高达202.99亿元，占其总资产的比重接近73%，占净资产的比重更是高达217%左右。近年来，上海莱士先后并购了郑州莱士、同路生物及浙江海康等公司，也使该公司的商誉急剧上升。截至今年上半年末，企业商誉为55.19亿元，占总资产比重为47.39%。</w:t>
      </w:r>
    </w:p>
    <w:p>
      <w:pPr>
        <w:pStyle w:val="TextBody"/>
      </w:pPr>
      <w:hyperlink r:id="rId63">
        <w:r>
          <w:rPr>
            <w:rStyle w:val="Hyperlink"/>
          </w:rPr>
          <w:t xml:space="preserve">http://www.ifnews.com/5/detail-45343.html</w:t>
        </w:r>
      </w:hyperlink>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如你不希望再收到易周法讯，请发送电邮至  </w:t>
      </w:r>
      <w:hyperlink r:id="rId10">
        <w:r>
          <w:rPr/>
          <w:t>unsubscribe@charltonslaw.com</w:t>
        </w:r>
      </w:hyperlink>
    </w:p>
    <w:p>
      <w:pPr>
        <w:pStyle w:val="BlackStrips"/>
      </w:pPr>
      <w:r>
        <w:t>Charltons - 法讯 - 中国 - 2019年11月18日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4d6ec08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28" Type="http://schemas.openxmlformats.org/officeDocument/2006/relationships/hyperlink" Target="http://company.cnstock.com/company/scp_gsxw/201911/4451292.htm" TargetMode="External"/><Relationship Id="rId36" Type="http://schemas.openxmlformats.org/officeDocument/2006/relationships/hyperlink" Target="http://news.cnstock.com/industry,rdjj-201911-4450543.htm" TargetMode="External"/><Relationship Id="rId51" Type="http://schemas.openxmlformats.org/officeDocument/2006/relationships/hyperlink" Target="http://news.cnstock.com/industry,rdjj-201911-4452264.htm" TargetMode="External"/><Relationship Id="rId54" Type="http://schemas.openxmlformats.org/officeDocument/2006/relationships/hyperlink" Target="http://news.cnstock.com/news,bwkx-201911-4450588.htm" TargetMode="External"/><Relationship Id="rId48" Type="http://schemas.openxmlformats.org/officeDocument/2006/relationships/hyperlink" Target="http://news.cnstock.com/news,bwkx-201911-4451080.htm" TargetMode="External"/><Relationship Id="rId32" Type="http://schemas.openxmlformats.org/officeDocument/2006/relationships/hyperlink" Target="http://news.cnstock.com/news,bwkx-201911-4451158.htm" TargetMode="External"/><Relationship Id="rId60" Type="http://schemas.openxmlformats.org/officeDocument/2006/relationships/hyperlink" Target="http://news.cnstock.com/news,bwkx-201911-4451179.htm" TargetMode="External"/><Relationship Id="rId45" Type="http://schemas.openxmlformats.org/officeDocument/2006/relationships/hyperlink" Target="http://news.cnstock.com/news,bwkx-201911-4451564.htm" TargetMode="External"/><Relationship Id="rId34" Type="http://schemas.openxmlformats.org/officeDocument/2006/relationships/hyperlink" Target="http://news.cnstock.com/news,bwkx-201911-4451613.htm" TargetMode="External"/><Relationship Id="rId38" Type="http://schemas.openxmlformats.org/officeDocument/2006/relationships/hyperlink" Target="http://news.cnstock.com/news,bwkx-201911-4451690.htm" TargetMode="External"/><Relationship Id="rId40" Type="http://schemas.openxmlformats.org/officeDocument/2006/relationships/hyperlink" Target="http://news.cnstock.com/news,jg-201911-4450560.htm" TargetMode="External"/><Relationship Id="rId26" Type="http://schemas.openxmlformats.org/officeDocument/2006/relationships/hyperlink" Target="http://news.cnstock.com/news,yw-201911-4450528.htm" TargetMode="External"/><Relationship Id="rId56" Type="http://schemas.openxmlformats.org/officeDocument/2006/relationships/hyperlink" Target="http://news.cnstock.com/news,yw-201911-4450538.htm" TargetMode="External"/><Relationship Id="rId43" Type="http://schemas.openxmlformats.org/officeDocument/2006/relationships/hyperlink" Target="http://news.cnstock.com/news,yw-201911-4451321.htm" TargetMode="External"/><Relationship Id="rId58" Type="http://schemas.openxmlformats.org/officeDocument/2006/relationships/hyperlink" Target="http://news.cnstock.com/news,yw-201911-4452233.htm" TargetMode="External"/><Relationship Id="rId24" Type="http://schemas.openxmlformats.org/officeDocument/2006/relationships/hyperlink" Target="http://stock.cnstock.com/stock/smk_gszbs/201911/4450802.htm" TargetMode="External"/><Relationship Id="rId30" Type="http://schemas.openxmlformats.org/officeDocument/2006/relationships/hyperlink" Target="http://stock.cnstock.com/stock/smk_jjdx/201911/4451769.htm" TargetMode="External"/><Relationship Id="rId63" Type="http://schemas.openxmlformats.org/officeDocument/2006/relationships/hyperlink" Target="http://www.ifnews.com/5/detail-45343.html" TargetMode="External"/><Relationship Id="rId9" Type="http://schemas.openxmlformats.org/officeDocument/2006/relationships/hyperlink" Target="http://www.charltonslaw.com.cn/hu-shen-300-gu-zhi-qi-quan-he-yue-ji-xiang-guan-gui-ze-zheng-qiu-yi-jian" TargetMode="External"/><Relationship Id="rId10"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28" Type="http://schemas.openxmlformats.org/officeDocument/2006/relationships/hyperlink" Target="http://company.cnstock.com/company/scp_gsxw/201911/4451292.htm" TargetMode="External"/><Relationship Id="rId36" Type="http://schemas.openxmlformats.org/officeDocument/2006/relationships/hyperlink" Target="http://news.cnstock.com/industry,rdjj-201911-4450543.htm" TargetMode="External"/><Relationship Id="rId51" Type="http://schemas.openxmlformats.org/officeDocument/2006/relationships/hyperlink" Target="http://news.cnstock.com/industry,rdjj-201911-4452264.htm" TargetMode="External"/><Relationship Id="rId54" Type="http://schemas.openxmlformats.org/officeDocument/2006/relationships/hyperlink" Target="http://news.cnstock.com/news,bwkx-201911-4450588.htm" TargetMode="External"/><Relationship Id="rId48" Type="http://schemas.openxmlformats.org/officeDocument/2006/relationships/hyperlink" Target="http://news.cnstock.com/news,bwkx-201911-4451080.htm" TargetMode="External"/><Relationship Id="rId32" Type="http://schemas.openxmlformats.org/officeDocument/2006/relationships/hyperlink" Target="http://news.cnstock.com/news,bwkx-201911-4451158.htm" TargetMode="External"/><Relationship Id="rId60" Type="http://schemas.openxmlformats.org/officeDocument/2006/relationships/hyperlink" Target="http://news.cnstock.com/news,bwkx-201911-4451179.htm" TargetMode="External"/><Relationship Id="rId45" Type="http://schemas.openxmlformats.org/officeDocument/2006/relationships/hyperlink" Target="http://news.cnstock.com/news,bwkx-201911-4451564.htm" TargetMode="External"/><Relationship Id="rId34" Type="http://schemas.openxmlformats.org/officeDocument/2006/relationships/hyperlink" Target="http://news.cnstock.com/news,bwkx-201911-4451613.htm" TargetMode="External"/><Relationship Id="rId38" Type="http://schemas.openxmlformats.org/officeDocument/2006/relationships/hyperlink" Target="http://news.cnstock.com/news,bwkx-201911-4451690.htm" TargetMode="External"/><Relationship Id="rId40" Type="http://schemas.openxmlformats.org/officeDocument/2006/relationships/hyperlink" Target="http://news.cnstock.com/news,jg-201911-4450560.htm" TargetMode="External"/><Relationship Id="rId26" Type="http://schemas.openxmlformats.org/officeDocument/2006/relationships/hyperlink" Target="http://news.cnstock.com/news,yw-201911-4450528.htm" TargetMode="External"/><Relationship Id="rId56" Type="http://schemas.openxmlformats.org/officeDocument/2006/relationships/hyperlink" Target="http://news.cnstock.com/news,yw-201911-4450538.htm" TargetMode="External"/><Relationship Id="rId43" Type="http://schemas.openxmlformats.org/officeDocument/2006/relationships/hyperlink" Target="http://news.cnstock.com/news,yw-201911-4451321.htm" TargetMode="External"/><Relationship Id="rId58" Type="http://schemas.openxmlformats.org/officeDocument/2006/relationships/hyperlink" Target="http://news.cnstock.com/news,yw-201911-4452233.htm" TargetMode="External"/><Relationship Id="rId24" Type="http://schemas.openxmlformats.org/officeDocument/2006/relationships/hyperlink" Target="http://stock.cnstock.com/stock/smk_gszbs/201911/4450802.htm" TargetMode="External"/><Relationship Id="rId30" Type="http://schemas.openxmlformats.org/officeDocument/2006/relationships/hyperlink" Target="http://stock.cnstock.com/stock/smk_jjdx/201911/4451769.htm" TargetMode="External"/><Relationship Id="rId63" Type="http://schemas.openxmlformats.org/officeDocument/2006/relationships/hyperlink" Target="http://www.ifnews.com/5/detail-4534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2019-11-18T08:51:38Z</dcterms:created>
  <dcterms:modified xsi:type="dcterms:W3CDTF">2019-11-18T08:51:38Z</dcterms:modified>
</cp:coreProperties>
</file>