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comments.xml" ContentType="application/vnd.openxmlformats-officedocument.wordprocessingml.comment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4"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BlackStrips"/>
      </w:pPr>
      <w:r>
        <w:t>Charltons - 法讯 - 中国 - 2019年11月22日</w:t>
      </w:r>
    </w:p>
    <w:p>
      <w:pPr>
        <w:pStyle w:val="ReadOnline"/>
      </w:pPr>
      <w:hyperlink r:id="rId9">
        <w:r>
          <w:rPr/>
          <w:t>online version</w:t>
        </w:r>
      </w:hyperlink>
    </w:p>
    <w:p>
      <w:pPr>
        <w:pStyle w:val="Title"/>
      </w:pPr>
      <w:r>
        <w:t>上期所发布关于落实穿透式监管相关要求的通知</w:t>
      </w:r>
    </w:p>
    <w:p>
      <w:pPr>
        <w:pStyle w:val="Heading2"/>
      </w:pPr>
      <w:bookmarkStart w:id="21" w:name="简介"/>
      <w:r>
        <w:t xml:space="preserve">简介</w:t>
      </w:r>
      <w:bookmarkEnd w:id="21"/>
    </w:p>
    <w:p>
      <w:pPr>
        <w:pStyle w:val="FirstParagraph"/>
      </w:pPr>
      <w:r>
        <w:t xml:space="preserve">上期所发布关于落实穿透式监管相关要求的通知；上交所、中国结算就股票期权试点风险控制管理办法公开征求意见；上交所发布《上海证券交易所、中国证券登记结算有限责任公司股票期权组合策略业务指引》；个税新优惠：年收入不超12万可暂免汇算清缴义务</w:t>
      </w:r>
    </w:p>
    <w:p>
      <w:pPr>
        <w:pStyle w:val="Heading2"/>
      </w:pPr>
      <w:bookmarkStart w:id="22" w:name="资本市场"/>
      <w:r>
        <w:t xml:space="preserve">资本市场</w:t>
      </w:r>
      <w:bookmarkEnd w:id="22"/>
    </w:p>
    <w:p>
      <w:pPr>
        <w:pStyle w:val="Heading3"/>
      </w:pPr>
      <w:bookmarkStart w:id="23" w:name="上期所发布关于落实穿透式监管相关要求的通知"/>
      <w:r>
        <w:t xml:space="preserve">上期所发布关于落实穿透式监管相关要求的通知</w:t>
      </w:r>
      <w:bookmarkEnd w:id="23"/>
    </w:p>
    <w:p>
      <w:pPr>
        <w:pStyle w:val="FirstParagraph"/>
      </w:pPr>
      <w:r>
        <w:t xml:space="preserve">据上海期货交易所2019年11月20日消息，根据《关于进一步加强期货经营机构客户交易终端信息采集有关事项的公告》（证监会公告〔2018〕27号）要求，客户通过交易终端软件下达交易指令的，期货公司应确保客户下达的交易指令直达其信息系统。上期所请各期货公司严格落实相关要求，并按照中国期货市场监控中心发布的《期货公司客户交易终端信息采集及接入认证技术规范》有关规定，做好中继代理软件管理和认证工作，对于符合监管规定的中继代理软件，开通准入权限。</w:t>
      </w:r>
    </w:p>
    <w:p>
      <w:pPr>
        <w:pStyle w:val="TextBody"/>
      </w:pPr>
      <w:hyperlink r:id="rId24">
        <w:r>
          <w:rPr>
            <w:rStyle w:val="Hyperlink"/>
          </w:rPr>
          <w:t xml:space="preserve">http://news.cnstock.com/news,bwkx-201911-4454605.htm</w:t>
        </w:r>
      </w:hyperlink>
    </w:p>
    <w:p>
      <w:pPr>
        <w:pStyle w:val="Heading3"/>
      </w:pPr>
      <w:bookmarkStart w:id="25" w:name="上交所中国结算就股票期权试点风险控制管理办法公开征求意见"/>
      <w:r>
        <w:t xml:space="preserve">上交所、中国结算就股票期权试点风险控制管理办法公开征求意见</w:t>
      </w:r>
      <w:bookmarkEnd w:id="25"/>
    </w:p>
    <w:p>
      <w:pPr>
        <w:pStyle w:val="FirstParagraph"/>
      </w:pPr>
      <w:r>
        <w:t xml:space="preserve">为进一步规范股票期权试点业务，加强风险管理，保护期权交易当事人的合法权益，根据《股票期权交易试点管理办法》、《上海证券交易所股票期权试点交易规则》等相关规定，上海证券交易所和中国证券登记结算有限责任公司对《上海证券交易所、中国证券登记结算有限责任公司股票期权试点风险控制管理办法》进行了修订，现向社会公开征求意见。意见反馈截止时间为2019年11月27日。</w:t>
      </w:r>
    </w:p>
    <w:p>
      <w:pPr>
        <w:pStyle w:val="TextBody"/>
      </w:pPr>
      <w:hyperlink r:id="rId26">
        <w:r>
          <w:rPr>
            <w:rStyle w:val="Hyperlink"/>
          </w:rPr>
          <w:t xml:space="preserve">http://news.cnstock.com/news,bwkx-201911-4454607.htm</w:t>
        </w:r>
      </w:hyperlink>
    </w:p>
    <w:p>
      <w:pPr>
        <w:pStyle w:val="Heading3"/>
      </w:pPr>
      <w:bookmarkStart w:id="27" w:name="中国结算修订上海市场首次公开发行股票登记结算业务指南"/>
      <w:r>
        <w:t xml:space="preserve">中国结算修订《上海市场首次公开发行股票登记结算业务指南》</w:t>
      </w:r>
      <w:bookmarkEnd w:id="27"/>
    </w:p>
    <w:p>
      <w:pPr>
        <w:pStyle w:val="FirstParagraph"/>
      </w:pPr>
      <w:r>
        <w:t xml:space="preserve">为配合在上海证券交易所设立科创板并试点注册制相关工作，中国证券登记结算有限责任公司对《上海市场首次公开发行股票登记结算业务指南》进行了修订。</w:t>
      </w:r>
    </w:p>
    <w:p>
      <w:pPr>
        <w:pStyle w:val="TextBody"/>
      </w:pPr>
      <w:r>
        <w:t xml:space="preserve">主要修订内容如下：一是优化了主承销商对发行事项的委托方式；二是将科创板存托凭证纳入首次公开发行限制申购条件。</w:t>
      </w:r>
    </w:p>
    <w:p>
      <w:pPr>
        <w:pStyle w:val="TextBody"/>
      </w:pPr>
      <w:hyperlink r:id="rId28">
        <w:r>
          <w:rPr>
            <w:rStyle w:val="Hyperlink"/>
          </w:rPr>
          <w:t xml:space="preserve">http://news.cnstock.com/news,bwkx-201911-4453055.htm</w:t>
        </w:r>
      </w:hyperlink>
    </w:p>
    <w:p>
      <w:pPr>
        <w:pStyle w:val="Heading3"/>
      </w:pPr>
      <w:bookmarkStart w:id="29" w:name="上交所发布上海证券交易所中国证券登记结算有限责任公司股票期权组合策略业务指引"/>
      <w:r>
        <w:t xml:space="preserve">上交所发布《上海证券交易所、中国证券登记结算有限责任公司股票期权组合策略业务指引》</w:t>
      </w:r>
      <w:bookmarkEnd w:id="29"/>
    </w:p>
    <w:p>
      <w:pPr>
        <w:pStyle w:val="FirstParagraph"/>
      </w:pPr>
      <w:r>
        <w:t xml:space="preserve">为规范股票期权组合策略交易业务，提高资金使用效率，降低期权交易成本，维护期权交易秩序，2019年11月15日，上海证券交易所和中国证券登记结算有限责任公司共同制定了《上海证券交易所、中国证券登记结算有限责任公司股票期权组合策略业务指引》，现予以发布，并自发布之日起实施。</w:t>
      </w:r>
    </w:p>
    <w:p>
      <w:pPr>
        <w:pStyle w:val="TextBody"/>
      </w:pPr>
      <w:r>
        <w:t xml:space="preserve">其中，关于单边平仓的规定（第十七条至第十九条）和备兑开仓转为保证金卖出开仓的规定（第二十四条）暂不实施，具体实施时间另行通知。</w:t>
      </w:r>
    </w:p>
    <w:p>
      <w:pPr>
        <w:pStyle w:val="TextBody"/>
      </w:pPr>
      <w:hyperlink r:id="rId30">
        <w:r>
          <w:rPr>
            <w:rStyle w:val="Hyperlink"/>
          </w:rPr>
          <w:t xml:space="preserve">http://news.cnstock.com/news,bwkx-201911-4453021.htm</w:t>
        </w:r>
      </w:hyperlink>
    </w:p>
    <w:p>
      <w:pPr>
        <w:pStyle w:val="Heading3"/>
      </w:pPr>
      <w:bookmarkStart w:id="31" w:name="中国结算就结算备付金管理办法2019年征求意见稿公开征求意见"/>
      <w:r>
        <w:t xml:space="preserve">中国结算就《结算备付金管理办法（2019年征求意见稿）》公开征求意见</w:t>
      </w:r>
      <w:bookmarkEnd w:id="31"/>
    </w:p>
    <w:p>
      <w:pPr>
        <w:pStyle w:val="FirstParagraph"/>
      </w:pPr>
      <w:r>
        <w:t xml:space="preserve">为支持资本市场全面深化改革，提升市场资金使用效率和结算备付金精细化管理水平，中国证券登记结算有限责任公司对《结算备付金管理办法》进行了修订，现面向各市场参与主体公开征求意见。</w:t>
      </w:r>
    </w:p>
    <w:p>
      <w:pPr>
        <w:pStyle w:val="TextBody"/>
      </w:pPr>
      <w:r>
        <w:t xml:space="preserve">主要修订内容包括调整债券以外的其他证券品种的最低备付金计收比例规定，将第九条“债券以外的其他证券品种按20%计收”修改为“债券以外的其他证券品种按18%计收”。其他调整还包括完善最低结算备付金差异化收取条款、补充全国中小企业股份转让系统市场相关结算备付金收取相关规定等。</w:t>
      </w:r>
    </w:p>
    <w:p>
      <w:pPr>
        <w:pStyle w:val="TextBody"/>
      </w:pPr>
      <w:hyperlink r:id="rId32">
        <w:r>
          <w:rPr>
            <w:rStyle w:val="Hyperlink"/>
          </w:rPr>
          <w:t xml:space="preserve">http://news.cnstock.com/news,bwkx-201911-4453027.htm</w:t>
        </w:r>
      </w:hyperlink>
    </w:p>
    <w:p>
      <w:pPr>
        <w:pStyle w:val="Heading3"/>
      </w:pPr>
      <w:bookmarkStart w:id="33" w:name="国家外汇管理局便利债市境外投资者管理外汇风险"/>
      <w:r>
        <w:t xml:space="preserve">国家外汇管理局便利债市境外投资者管理外汇风险</w:t>
      </w:r>
      <w:bookmarkEnd w:id="33"/>
    </w:p>
    <w:p>
      <w:pPr>
        <w:pStyle w:val="FirstParagraph"/>
      </w:pPr>
      <w:r>
        <w:t xml:space="preserve">为配合做好国内债券市场对外开放，优化境外机构债券投资项下外汇风险管理，国家外汇管理局近日发布《国家外汇管理局关于完善银行间债券市场境外机构投资者外汇风险管理有关问题的通知（征求意见稿）》（下称《通知》），向社会公开征求意见。此举可推动外汇市场对外开放，进一步便利境外机构投资者管理外汇风险。</w:t>
      </w:r>
    </w:p>
    <w:p>
      <w:pPr>
        <w:pStyle w:val="TextBody"/>
      </w:pPr>
      <w:r>
        <w:t xml:space="preserve">境外银行类投资者可以选择以下三种渠道，开展外汇衍生品交易：作为客户与境内银行直接交易；申请成为中国外汇交易中心会员直接进入银行间外汇市场交易；申请成为外汇交易中心会员通过主经纪业务进入银行间外汇市场交易。境外非银行类投资者，可以选择以下两种渠道，开展外汇衍生品交易：作为客户与境内银行直接交易；申请成为外汇交易中心会员通过主经纪业务进入银行间外汇市场交易。</w:t>
      </w:r>
    </w:p>
    <w:p>
      <w:pPr>
        <w:pStyle w:val="TextBody"/>
      </w:pPr>
      <w:r>
        <w:t xml:space="preserve">《通知》对境外机构投资者开展交易进行了一系列规定，也对境外机构投资者和境内银行违反《通知》规定了相应监管措施。</w:t>
      </w:r>
    </w:p>
    <w:p>
      <w:pPr>
        <w:pStyle w:val="TextBody"/>
      </w:pPr>
      <w:hyperlink r:id="rId34">
        <w:r>
          <w:rPr>
            <w:rStyle w:val="Hyperlink"/>
          </w:rPr>
          <w:t xml:space="preserve">http://news.cnstock.com/news,yw-201911-4452747.htm</w:t>
        </w:r>
      </w:hyperlink>
    </w:p>
    <w:p>
      <w:pPr>
        <w:pStyle w:val="Heading3"/>
      </w:pPr>
      <w:bookmarkStart w:id="35" w:name="中欧所积极筹备沪德通以加强中德市场互联互通"/>
      <w:r>
        <w:t xml:space="preserve">中欧所积极筹备沪德通以加强中德市场互联互通</w:t>
      </w:r>
      <w:bookmarkEnd w:id="35"/>
    </w:p>
    <w:p>
      <w:pPr>
        <w:pStyle w:val="FirstParagraph"/>
      </w:pPr>
      <w:r>
        <w:t xml:space="preserve">中欧国际交易所（中欧所）联席首席执行官陈晗2019年11月20日在第四届中欧所金融市场论坛上表示，中欧所正积极筹备沪德通，以加强中国和德国证券市场互联互通。</w:t>
      </w:r>
    </w:p>
    <w:p>
      <w:pPr>
        <w:pStyle w:val="TextBody"/>
      </w:pPr>
      <w:r>
        <w:t xml:space="preserve">陈晗指出，沪德通是要推动德国蓝筹上市公司到上海证券交易所发行中国存托凭证，同时支持中国优秀上市公司，尤其是制造业企业到法兰克福证券市场发行全球存托凭证。继沪伦通后，沪德通是中国金融市场双向开放的又一举措。</w:t>
      </w:r>
    </w:p>
    <w:p>
      <w:pPr>
        <w:pStyle w:val="TextBody"/>
      </w:pPr>
      <w:hyperlink r:id="rId36">
        <w:r>
          <w:rPr>
            <w:rStyle w:val="Hyperlink"/>
          </w:rPr>
          <w:t xml:space="preserve">http://news.cnstock.com/news,bwkx-201911-4454823.htm</w:t>
        </w:r>
      </w:hyperlink>
    </w:p>
    <w:p>
      <w:pPr>
        <w:pStyle w:val="Heading3"/>
      </w:pPr>
      <w:bookmarkStart w:id="37" w:name="年第三季度中国货币政策执行报告发布"/>
      <w:r>
        <w:t xml:space="preserve">《2019年第三季度中国货币政策执行报告》发布</w:t>
      </w:r>
      <w:bookmarkEnd w:id="37"/>
    </w:p>
    <w:p>
      <w:pPr>
        <w:pStyle w:val="FirstParagraph"/>
      </w:pPr>
      <w:r>
        <w:t xml:space="preserve">中国人民银行2019年11月16日发布的《2019年第三季度中国货币政策执行报告》（下称《报告》）传递出最新的政策动向。《报告》中对于CPI判断、实施好稳健货币政策的具体思路等表述，均较上一期报告发生了明显的调整。</w:t>
      </w:r>
    </w:p>
    <w:p>
      <w:pPr>
        <w:pStyle w:val="TextBody"/>
      </w:pPr>
      <w:r>
        <w:t xml:space="preserve">《报告》判断，当前我国经济运行总体平稳，总供求大体平衡，不存在持续通胀或通缩的基础。《报告》提醒，猪瘟疫情等造成的供给冲击尚需一定时间平复，短期内消费物价仍面临上行压力，需持续密切监测动态变化，警惕通胀预期发散。对于未来一个阶段，《报告》预计，进入2020年下半年后，翘尾因素对PPI的影响将小于2019年且更加稳定，CPI受食品价格上涨的冲击将逐步消退，两者间的差距有望趋于收窄。</w:t>
      </w:r>
    </w:p>
    <w:p>
      <w:pPr>
        <w:pStyle w:val="TextBody"/>
      </w:pPr>
      <w:hyperlink r:id="rId38">
        <w:r>
          <w:rPr>
            <w:rStyle w:val="Hyperlink"/>
          </w:rPr>
          <w:t xml:space="preserve">http://news.cnstock.com/news,yw-201911-4453373.htm</w:t>
        </w:r>
      </w:hyperlink>
    </w:p>
    <w:p>
      <w:pPr>
        <w:pStyle w:val="Heading2"/>
      </w:pPr>
      <w:bookmarkStart w:id="39" w:name="税收"/>
      <w:r>
        <w:t xml:space="preserve">税收</w:t>
      </w:r>
      <w:bookmarkEnd w:id="39"/>
    </w:p>
    <w:p>
      <w:pPr>
        <w:pStyle w:val="Heading3"/>
      </w:pPr>
      <w:bookmarkStart w:id="40" w:name="个税新优惠年收入不超12万可暂免汇算清缴义务"/>
      <w:r>
        <w:t xml:space="preserve">个税新优惠：年收入不超12万可暂免汇算清缴义务</w:t>
      </w:r>
      <w:bookmarkEnd w:id="40"/>
    </w:p>
    <w:p>
      <w:pPr>
        <w:pStyle w:val="FirstParagraph"/>
      </w:pPr>
      <w:r>
        <w:t xml:space="preserve">国务院总理李克强2019年11月20日主持召开国务院常务会议，听取个人所得税改革情况汇报，确定有关税收优惠政策减轻纳税人负担。</w:t>
      </w:r>
    </w:p>
    <w:p>
      <w:pPr>
        <w:pStyle w:val="TextBody"/>
      </w:pPr>
      <w:r>
        <w:t xml:space="preserve">本次会议确定的个税优惠政策重点包括：1，要合理有序建立个人所得税年度汇算清缴制度；2，暂定两年内对综合所得年收入不超过12万元或年度补税金额较低的纳税人免除汇算清缴义务；3，使专项附加扣除政策更好落实并不断完善；4，实现税制可持续。</w:t>
      </w:r>
    </w:p>
    <w:p>
      <w:pPr>
        <w:pStyle w:val="TextBody"/>
      </w:pPr>
      <w:hyperlink r:id="rId41">
        <w:r>
          <w:rPr>
            <w:rStyle w:val="Hyperlink"/>
          </w:rPr>
          <w:t xml:space="preserve">https://finance.sina.com.cn/china/2019-11-20/doc-iihnzahi2246440.shtml</w:t>
        </w:r>
      </w:hyperlink>
    </w:p>
    <w:p>
      <w:pPr>
        <w:pStyle w:val="Heading2"/>
      </w:pPr>
      <w:bookmarkStart w:id="42" w:name="知产"/>
      <w:r>
        <w:t xml:space="preserve">知产</w:t>
      </w:r>
      <w:bookmarkEnd w:id="42"/>
    </w:p>
    <w:p>
      <w:pPr>
        <w:pStyle w:val="Heading3"/>
      </w:pPr>
      <w:bookmarkStart w:id="43" w:name="中国自主研发抗癌新药首次获批在美上市"/>
      <w:r>
        <w:t xml:space="preserve">中国自主研发抗癌新药首次获批在美上市</w:t>
      </w:r>
      <w:bookmarkEnd w:id="43"/>
    </w:p>
    <w:p>
      <w:pPr>
        <w:pStyle w:val="FirstParagraph"/>
      </w:pPr>
      <w:r>
        <w:t xml:space="preserve">美国当地时间2019年11月14日，美国食品药品监督管理局（FDA）宣布：中国企业百济神州自主研发的抗癌新药“泽布替尼”，以“突破性疗法”的身份，“优先审评”获准上市，用于治疗既往接受过至少一项疗法的套细胞淋巴瘤（MCL）患者。</w:t>
      </w:r>
    </w:p>
    <w:p>
      <w:pPr>
        <w:pStyle w:val="TextBody"/>
      </w:pPr>
      <w:r>
        <w:t xml:space="preserve">泽布替尼是百济神州首款获批的自主研发产品，更是第一个在美获批上市的中国本土自主研发抗癌新药，该药的上市结束了中国抗癌药在国际市场“只进不出”的局面。</w:t>
      </w:r>
    </w:p>
    <w:p>
      <w:pPr>
        <w:pStyle w:val="TextBody"/>
      </w:pPr>
      <w:r>
        <w:t xml:space="preserve">据悉，泽布替尼在国内的审批也在进行中，预计将于明年上半年在国内上市。</w:t>
      </w:r>
    </w:p>
    <w:p>
      <w:pPr>
        <w:pStyle w:val="TextBody"/>
      </w:pPr>
      <w:hyperlink r:id="rId44">
        <w:r>
          <w:rPr>
            <w:rStyle w:val="Hyperlink"/>
          </w:rPr>
          <w:t xml:space="preserve">http://news.cnstock.com/industry,rdjj-201911-4453353.htm</w:t>
        </w:r>
      </w:hyperlink>
    </w:p>
    <w:p>
      <w:pPr>
        <w:pStyle w:val="Heading2"/>
      </w:pPr>
      <w:bookmarkStart w:id="45" w:name="行业"/>
      <w:r>
        <w:t xml:space="preserve">行业</w:t>
      </w:r>
      <w:bookmarkEnd w:id="45"/>
    </w:p>
    <w:p>
      <w:pPr>
        <w:pStyle w:val="Heading3"/>
      </w:pPr>
      <w:bookmarkStart w:id="46" w:name="国务院印发关于在自由贸易试验区开展证照分离改革全覆盖试点的通知"/>
      <w:r>
        <w:t xml:space="preserve">国务院印发《关于在自由贸易试验区开展“证照分离”改革全覆盖试点的通知》</w:t>
      </w:r>
      <w:bookmarkEnd w:id="46"/>
    </w:p>
    <w:p>
      <w:pPr>
        <w:pStyle w:val="FirstParagraph"/>
      </w:pPr>
      <w:r>
        <w:t xml:space="preserve">经李克强总理签批，国务院日前印发《关于在自由贸易试验区开展“证照分离”改革全覆盖试点的通知》（以下简称《通知》），部署自2019年12月1日起，在全国自贸试验区开展“证照分离”改革全覆盖试点。</w:t>
      </w:r>
    </w:p>
    <w:p>
      <w:pPr>
        <w:pStyle w:val="TextBody"/>
      </w:pPr>
      <w:r>
        <w:t xml:space="preserve">《通知》指出，要持续深化“放管服”改革，进一步明晰政府和企业责任，全面清理涉企经营许可事项，分类推进审批制度改革，完善简约透明的行业准入规则，进一步扩大企业经营自主权，创新和加强事中事后监管，打造市场化、法治化、国际化的营商环境，激发微观主体活力，推动经济高质量发展。</w:t>
      </w:r>
    </w:p>
    <w:p>
      <w:pPr>
        <w:pStyle w:val="TextBody"/>
      </w:pPr>
      <w:hyperlink r:id="rId47">
        <w:r>
          <w:rPr>
            <w:rStyle w:val="Hyperlink"/>
          </w:rPr>
          <w:t xml:space="preserve">http://news.cnstock.com/news,bwkx-201911-4453079.htm</w:t>
        </w:r>
      </w:hyperlink>
    </w:p>
    <w:p>
      <w:pPr>
        <w:pStyle w:val="Heading3"/>
      </w:pPr>
      <w:bookmarkStart w:id="48" w:name="国家发展改革委印发生态综合补偿试点方案"/>
      <w:r>
        <w:t xml:space="preserve">国家发展改革委印发《生态综合补偿试点方案》</w:t>
      </w:r>
      <w:bookmarkEnd w:id="48"/>
    </w:p>
    <w:p>
      <w:pPr>
        <w:pStyle w:val="FirstParagraph"/>
      </w:pPr>
      <w:r>
        <w:t xml:space="preserve">近日，国家发展改革委制定《生态综合补偿试点方案》。</w:t>
      </w:r>
    </w:p>
    <w:p>
      <w:pPr>
        <w:pStyle w:val="TextBody"/>
      </w:pPr>
      <w:r>
        <w:t xml:space="preserve">《方案》工作目标为，到2022年，生态综合补偿试点工作取得阶段性进展，资金使用效益有效提升，生态保护地区造血能力得到增强，生态保护者的主动参与度明显提升，与地方经济发展水平相适应的生态保护补偿机制基本建立。试点任务包括：创新森林生态效益补偿制度、推进建立流域上下游生态补偿制度、发展生态优势特色产业、推动生态保护补偿工作制度化。</w:t>
      </w:r>
    </w:p>
    <w:p>
      <w:pPr>
        <w:pStyle w:val="TextBody"/>
      </w:pPr>
      <w:hyperlink r:id="rId49">
        <w:r>
          <w:rPr>
            <w:rStyle w:val="Hyperlink"/>
          </w:rPr>
          <w:t xml:space="preserve">http://news.cnstock.com/news,bwkx-201911-4454587.htm</w:t>
        </w:r>
      </w:hyperlink>
    </w:p>
    <w:p>
      <w:pPr>
        <w:pStyle w:val="Heading3"/>
      </w:pPr>
      <w:bookmarkStart w:id="50" w:name="交通运输部等七部门印发智能航运发展指导意见"/>
      <w:r>
        <w:t xml:space="preserve">交通运输部等七部门印发《智能航运发展指导意见》</w:t>
      </w:r>
      <w:bookmarkEnd w:id="50"/>
    </w:p>
    <w:p>
      <w:pPr>
        <w:pStyle w:val="FirstParagraph"/>
      </w:pPr>
      <w:r>
        <w:t xml:space="preserve">近日，交通运输部、中央网信办、国家发展改革委、教育部、科技部、工业和信息化部、财政部联合印发《智能航运发展指导意见》。</w:t>
      </w:r>
    </w:p>
    <w:p>
      <w:pPr>
        <w:pStyle w:val="TextBody"/>
      </w:pPr>
      <w:r>
        <w:t xml:space="preserve">意见指出，到2020年底，基本完成我国智能航运发展顶层设计，理清发展思路与模式，组织开展基础共性技术攻关和公益性保障工程建设，建立智能船舶、智能航保、智能监管等智能航运试验、试点和示范环境条件；到2025年，突破一批制约智能航运发展的关键技术，成为全球智能航运发展创新中心；到2035年，较为全面地掌握智能航运核心技术；到2050年，形成高质量智能航运体系。</w:t>
      </w:r>
    </w:p>
    <w:p>
      <w:pPr>
        <w:pStyle w:val="TextBody"/>
      </w:pPr>
      <w:hyperlink r:id="rId51">
        <w:r>
          <w:rPr>
            <w:rStyle w:val="Hyperlink"/>
          </w:rPr>
          <w:t xml:space="preserve">http://news.cnstock.com/news,bwkx-201911-4454127.htm</w:t>
        </w:r>
      </w:hyperlink>
    </w:p>
    <w:p>
      <w:pPr>
        <w:pStyle w:val="Heading3"/>
      </w:pPr>
      <w:bookmarkStart w:id="52" w:name="央行营管部牵头助力北京先进制造业融资"/>
      <w:r>
        <w:t xml:space="preserve">央行营管部牵头助力北京先进制造业融资</w:t>
      </w:r>
      <w:bookmarkEnd w:id="52"/>
    </w:p>
    <w:p>
      <w:pPr>
        <w:pStyle w:val="FirstParagraph"/>
      </w:pPr>
      <w:r>
        <w:t xml:space="preserve">中国人民银行营业管理部（下称央行营管部）近日联合北京银保监局、北京证监局、北京地方金融监管局、北京经济技术开发区等多部门，共同制定了《金融支持北京市制造业高质量发展的指导意见》（下称《指导意见》）。</w:t>
      </w:r>
    </w:p>
    <w:p>
      <w:pPr>
        <w:pStyle w:val="TextBody"/>
      </w:pPr>
      <w:r>
        <w:t xml:space="preserve">《指导意见》聚焦集成电路、医药健康、智能装备、节能环保、新能源智能汽车、新材料、人工智能等先进制造业领域，从金融供给侧角度精准发力，加强对制造业科技创新、转型升级和科技型中小制造企业的金融支持，致力于推动“北京制造”向“北京创造”转变。</w:t>
      </w:r>
    </w:p>
    <w:p>
      <w:pPr>
        <w:pStyle w:val="TextBody"/>
      </w:pPr>
      <w:hyperlink r:id="rId53">
        <w:r>
          <w:rPr>
            <w:rStyle w:val="Hyperlink"/>
          </w:rPr>
          <w:t xml:space="preserve">http://news.cnstock.com/news,bwkx-201911-4453192.htm</w:t>
        </w:r>
      </w:hyperlink>
    </w:p>
    <w:p>
      <w:pPr>
        <w:pStyle w:val="Heading2"/>
      </w:pPr>
      <w:bookmarkStart w:id="54" w:name="并购"/>
      <w:r>
        <w:t xml:space="preserve">并购</w:t>
      </w:r>
      <w:bookmarkEnd w:id="54"/>
    </w:p>
    <w:p>
      <w:pPr>
        <w:pStyle w:val="Heading3"/>
      </w:pPr>
      <w:bookmarkStart w:id="55" w:name="中环股份收购道达尔旗下sunpower公司的部分电池组件资产"/>
      <w:r>
        <w:t xml:space="preserve">中环股份收购道达尔旗下SunPower公司的部分电池组件资产</w:t>
      </w:r>
      <w:bookmarkEnd w:id="55"/>
    </w:p>
    <w:p>
      <w:pPr>
        <w:pStyle w:val="FirstParagraph"/>
      </w:pPr>
      <w:r>
        <w:t xml:space="preserve">2019年11月12日，中环股份宣布与全球四大石油化工巨头之一的道达尔（Total）合作，收购道达尔旗下SunPower公司的部分电池组件资产，具体为：中环股份拟投资2.98亿美元，参股从SunPower公司分拆出来的MAXEON公司（也称“目标公司”），投资后以28.8480%的持股比例成为MAXEON的第二大股东，新成立的合资公司MAXEON拟注册在新加坡。</w:t>
      </w:r>
    </w:p>
    <w:p>
      <w:pPr>
        <w:pStyle w:val="TextBody"/>
      </w:pPr>
      <w:r>
        <w:t xml:space="preserve">MAXEON主要业务将包括原SunPower除美国和加拿大以外的全球生产和销售网络及专利，MAXEON将会以“SunPower”品牌向全球（除美国和加拿大）市场销售其生产的高效交叉背接触（IBC）产品，并通过一个与SunPower签署的多年期独家供货协议向美国和加拿大市场销售其产品。</w:t>
      </w:r>
    </w:p>
    <w:p>
      <w:pPr>
        <w:pStyle w:val="TextBody"/>
      </w:pPr>
      <w:hyperlink r:id="rId56">
        <w:r>
          <w:rPr>
            <w:rStyle w:val="Hyperlink"/>
          </w:rPr>
          <w:t xml:space="preserve">http://company.cnstock.com/company/scp_gsxw/201911/4454321.htm</w:t>
        </w:r>
      </w:hyperlink>
    </w:p>
    <w:p>
      <w:pPr>
        <w:pStyle w:val="DisclaimerBold"/>
      </w:pPr>
      <w:r>
        <w:t>此法讯仅为提供相关资料信息之用，其内容并</w:t>
      </w:r>
    </w:p>
    <w:p>
      <w:pPr>
        <w:pStyle w:val="Disclaimer"/>
      </w:pPr>
      <w:r>
        <w:t>不构成法律建议及个案的法律分析。</w:t>
      </w:r>
    </w:p>
    <w:p>
      <w:pPr>
        <w:pStyle w:val="Disclaimer"/>
      </w:pPr>
      <w:r>
        <w:t>此法讯的发送并不是为了在易周律师行与用户或浏览者之间建立一种律师与客户之关系。</w:t>
      </w:r>
    </w:p>
    <w:p>
      <w:pPr>
        <w:pStyle w:val="Disclaimer"/>
      </w:pPr>
      <w:r>
        <w:t>易周律师行并不对可从互联网获得的任何第三方内容负责。</w:t>
      </w:r>
    </w:p>
    <w:p>
      <w:pPr>
        <w:pStyle w:val="Disclaimer"/>
      </w:pPr>
      <w:r>
        <w:t xml:space="preserve">如你不希望再收到易周法讯，请发送电邮至  </w:t>
      </w:r>
      <w:hyperlink r:id="rId10">
        <w:r>
          <w:rPr/>
          <w:t>unsubscribe@charltonslaw.com</w:t>
        </w:r>
      </w:hyperlink>
    </w:p>
    <w:p>
      <w:pPr>
        <w:pStyle w:val="BlackStrips"/>
      </w:pPr>
      <w:r>
        <w:t>Charltons - 法讯 - 中国 - 2019年11月22日</w:t>
      </w:r>
    </w:p>
    <w:sectPr>
      <w:type w:val="nextPage"/>
      <w:pgSz w:w="11906" w:h="16838"/>
      <w:pgMar w:left="864" w:right="864" w:header="0" w:top="864" w:footer="0" w:bottom="864" w:gutter="0"/>
      <w:pgNumType w:fmt="decimal"/>
      <w:formProt w:val="false"/>
      <w:textDirection w:val="lrTb"/>
      <w:docGrid w:type="default" w:linePitch="240" w:charSpace="429496115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nsolas">
    <w:charset w:val="01"/>
    <w:family w:val="roman"/>
    <w:pitch w:val="variable"/>
  </w:font>
  <w:font w:name="Liberation Sans">
    <w:altName w:val="Arial"/>
    <w:charset w:val="01"/>
    <w:family w:val="roman"/>
    <w:pitch w:val="variable"/>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409d66e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Cs w:val="24"/>
        <w:lang w:val="en-US" w:eastAsia="en-US" w:bidi="ar-SA"/>
      </w:rPr>
    </w:rPrDefault>
    <w:pPrDefault>
      <w:pPr/>
    </w:pPrDefault>
  </w:docDefaults>
  <w:latentStyles w:defLockedState="0" w:defUIPriority="0" w:defSemiHidden="0" w:defUnhideWhenUsed="0" w:defQFormat="0" w:count="276"/>
  <w:style w:type="paragraph" w:styleId="Normal" w:default="1">
    <w:name w:val="Normal"/>
    <w:qFormat/>
    <w:pPr>
      <w:widowControl/>
      <w:bidi w:val="0"/>
      <w:spacing w:before="0" w:after="200"/>
      <w:jc w:val="left"/>
    </w:pPr>
    <w:rPr>
      <w:rFonts w:ascii="Cambria" w:hAnsi="Cambria" w:eastAsia="Cambria" w:cs="" w:asciiTheme="minorHAnsi" w:cstheme="minorBidi" w:eastAsiaTheme="minorHAnsi" w:hAnsiTheme="minorHAnsi"/>
      <w:color w:val="00000A"/>
      <w:sz w:val="24"/>
      <w:szCs w:val="24"/>
      <w:lang w:val="en-US" w:eastAsia="en-US" w:bidi="ar-SA"/>
    </w:rPr>
  </w:style>
  <w:style w:type="paragraph" w:styleId="Heading1">
    <w:name w:val="Heading 1"/>
    <w:basedOn w:val="Normal"/>
    <w:uiPriority w:val="9"/>
    <w:qFormat/>
    <w:pPr>
      <w:keepNext/>
      <w:keepLines/>
      <w:bidi w:val="0"/>
      <w:spacing w:before="480" w:after="0"/>
      <w:jc w:val="left"/>
      <w:outlineLvl w:val="0"/>
    </w:pPr>
    <w:rPr>
      <w:rFonts w:ascii="Calibri" w:hAnsi="Calibri" w:eastAsia="" w:cs="" w:asciiTheme="majorHAnsi" w:cstheme="majorBidi" w:eastAsiaTheme="majorEastAsia" w:hAnsiTheme="majorHAnsi"/>
      <w:b/>
      <w:bCs/>
      <w:color w:val="C0143C" w:themeShade="b5"/>
      <w:sz w:val="32"/>
      <w:szCs w:val="32"/>
    </w:rPr>
  </w:style>
  <w:style w:type="paragraph" w:styleId="Heading2">
    <w:name w:val="Heading 2"/>
    <w:basedOn w:val="Normal"/>
    <w:uiPriority w:val="9"/>
    <w:unhideWhenUsed/>
    <w:qFormat/>
    <w:pPr>
      <w:keepNext/>
      <w:keepLines/>
      <w:bidi w:val="0"/>
      <w:spacing w:before="200" w:after="0"/>
      <w:jc w:val="left"/>
      <w:outlineLvl w:val="1"/>
    </w:pPr>
    <w:rPr>
      <w:rFonts w:ascii="Calibri" w:hAnsi="Calibri" w:eastAsia="" w:cs="" w:asciiTheme="majorHAnsi" w:cstheme="majorBidi" w:eastAsiaTheme="majorEastAsia" w:hAnsiTheme="majorHAnsi"/>
      <w:b/>
      <w:bCs/>
      <w:color w:val="C0143C"/>
      <w:sz w:val="32"/>
      <w:szCs w:val="32"/>
    </w:rPr>
  </w:style>
  <w:style w:type="paragraph" w:styleId="Heading3">
    <w:name w:val="Heading 3"/>
    <w:basedOn w:val="Normal"/>
    <w:uiPriority w:val="9"/>
    <w:unhideWhenUsed/>
    <w:qFormat/>
    <w:pPr>
      <w:keepNext/>
      <w:keepLines/>
      <w:bidi w:val="0"/>
      <w:spacing w:before="200" w:after="0"/>
      <w:jc w:val="left"/>
      <w:outlineLvl w:val="2"/>
    </w:pPr>
    <w:rPr>
      <w:rFonts w:ascii="Calibri" w:hAnsi="Calibri" w:eastAsia="" w:cs="" w:asciiTheme="majorHAnsi" w:cstheme="majorBidi" w:eastAsiaTheme="majorEastAsia" w:hAnsiTheme="majorHAnsi"/>
      <w:b/>
      <w:bCs/>
      <w:color w:val="C0143C"/>
      <w:sz w:val="28"/>
      <w:szCs w:val="28"/>
    </w:rPr>
  </w:style>
  <w:style w:type="paragraph" w:styleId="Heading4">
    <w:name w:val="Heading 4"/>
    <w:basedOn w:val="Normal"/>
    <w:uiPriority w:val="9"/>
    <w:unhideWhenUsed/>
    <w:qFormat/>
    <w:pPr>
      <w:keepNext/>
      <w:keepLines/>
      <w:bidi w:val="0"/>
      <w:spacing w:before="200" w:after="0"/>
      <w:jc w:val="left"/>
      <w:outlineLvl w:val="3"/>
    </w:pPr>
    <w:rPr>
      <w:rFonts w:ascii="Calibri" w:hAnsi="Calibri" w:eastAsia="" w:cs="" w:asciiTheme="majorHAnsi" w:cstheme="majorBidi" w:eastAsiaTheme="majorEastAsia" w:hAnsiTheme="majorHAnsi"/>
      <w:b/>
      <w:bCs/>
      <w:color w:val="C0143C"/>
      <w:sz w:val="24"/>
      <w:szCs w:val="24"/>
    </w:rPr>
  </w:style>
  <w:style w:type="paragraph" w:styleId="Heading5">
    <w:name w:val="Heading 5"/>
    <w:basedOn w:val="Normal"/>
    <w:uiPriority w:val="9"/>
    <w:unhideWhenUsed/>
    <w:qFormat/>
    <w:pPr>
      <w:keepNext/>
      <w:keepLines/>
      <w:bidi w:val="0"/>
      <w:spacing w:before="200" w:after="0"/>
      <w:jc w:val="left"/>
      <w:outlineLvl w:val="4"/>
    </w:pPr>
    <w:rPr>
      <w:rFonts w:ascii="Calibri" w:hAnsi="Calibri" w:eastAsia="" w:cs="" w:asciiTheme="majorHAnsi" w:cstheme="majorBidi" w:eastAsiaTheme="majorEastAsia" w:hAnsiTheme="majorHAnsi"/>
      <w:i/>
      <w:iCs/>
      <w:color w:val="C0143C"/>
      <w:sz w:val="24"/>
      <w:szCs w:val="24"/>
    </w:rPr>
  </w:style>
  <w:style w:type="paragraph" w:styleId="Heading6">
    <w:name w:val="Heading 6"/>
    <w:basedOn w:val="Normal"/>
    <w:uiPriority w:val="9"/>
    <w:unhideWhenUsed/>
    <w:qFormat/>
    <w:pPr>
      <w:keepNext/>
      <w:keepLines/>
      <w:bidi w:val="0"/>
      <w:spacing w:before="200" w:after="0"/>
      <w:jc w:val="left"/>
      <w:outlineLvl w:val="5"/>
    </w:pPr>
    <w:rPr>
      <w:rFonts w:ascii="Calibri" w:hAnsi="Calibri" w:eastAsia="" w:cs="" w:asciiTheme="majorHAnsi" w:cstheme="majorBidi" w:eastAsiaTheme="majorEastAsia" w:hAnsiTheme="majorHAnsi"/>
      <w:color w:val="C0143C"/>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link w:val="BodyText"/>
    <w:qFormat/>
    <w:rPr/>
  </w:style>
  <w:style w:type="character" w:styleId="VerbatimChar" w:customStyle="1">
    <w:name w:val="Verbatim Char"/>
    <w:basedOn w:val="BodyTextChar"/>
    <w:qFormat/>
    <w:rPr>
      <w:rFonts w:ascii="Consolas" w:hAnsi="Consolas"/>
      <w:sz w:val="22"/>
    </w:rPr>
  </w:style>
  <w:style w:type="character" w:styleId="FootnoteAnchor">
    <w:name w:val="Footnote Anchor"/>
    <w:basedOn w:val="BodyTextChar"/>
    <w:rPr>
      <w:vertAlign w:val="superscript"/>
    </w:rPr>
  </w:style>
  <w:style w:type="character" w:styleId="InternetLink">
    <w:name w:val="Internet Link"/>
    <w:basedOn w:val="BodyTextChar"/>
    <w:rPr>
      <w:color w:val="C0143C"/>
    </w:rPr>
  </w:style>
  <w:style w:type="paragraph" w:styleId="Heading">
    <w:name w:val="Heading"/>
    <w:basedOn w:val="Normal"/>
    <w:next w:val="TextBody"/>
    <w:qFormat/>
    <w:pPr>
      <w:keepNext/>
      <w:spacing w:before="240" w:after="120"/>
    </w:pPr>
    <w:rPr>
      <w:rFonts w:ascii="Liberation Sans" w:hAnsi="Liberation Sans" w:eastAsia="Microsoft YaHei" w:cs="Arial Unicode MS"/>
      <w:sz w:val="28"/>
      <w:szCs w:val="28"/>
    </w:rPr>
  </w:style>
  <w:style w:type="paragraph" w:styleId="TextBody">
    <w:name w:val="Body Text"/>
    <w:basedOn w:val="Normal"/>
    <w:link w:val="BodyTextChar"/>
    <w:qFormat/>
    <w:pPr>
      <w:bidi w:val="0"/>
      <w:spacing w:before="180" w:after="180"/>
      <w:jc w:val="both"/>
    </w:pPr>
    <w:rPr/>
  </w:style>
  <w:style w:type="paragraph" w:styleId="List">
    <w:name w:val="List"/>
    <w:basedOn w:val="TextBody"/>
    <w:pPr/>
    <w:rPr>
      <w:rFonts w:cs="Arial Unicode MS"/>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Arial Unicode MS"/>
    </w:rPr>
  </w:style>
  <w:style w:type="paragraph" w:styleId="FirstParagraph" w:customStyle="1">
    <w:name w:val="First Paragraph"/>
    <w:basedOn w:val="TextBody"/>
    <w:qFormat/>
    <w:pPr/>
    <w:rPr/>
  </w:style>
  <w:style w:type="paragraph" w:styleId="Compact" w:customStyle="1">
    <w:name w:val="Compact"/>
    <w:basedOn w:val="TextBody"/>
    <w:qFormat/>
    <w:pPr>
      <w:spacing w:before="36" w:after="36"/>
    </w:pPr>
    <w:rPr/>
  </w:style>
  <w:style w:type="paragraph" w:styleId="Title">
    <w:name w:val="Title"/>
    <w:basedOn w:val="Normal"/>
    <w:qFormat/>
    <w:pPr>
      <w:keepNext/>
      <w:keepLines/>
      <w:bidi w:val="0"/>
      <w:spacing w:before="480" w:after="240"/>
      <w:jc w:val="left"/>
    </w:pPr>
    <w:rPr>
      <w:rFonts w:ascii="Calibri" w:hAnsi="Calibri" w:eastAsia="" w:cs="" w:asciiTheme="majorHAnsi" w:cstheme="majorBidi" w:eastAsiaTheme="majorEastAsia" w:hAnsiTheme="majorHAnsi"/>
      <w:b/>
      <w:bCs/>
      <w:color w:val="C0143C" w:themeShade="b5"/>
      <w:sz w:val="36"/>
      <w:szCs w:val="36"/>
    </w:rPr>
  </w:style>
  <w:style w:type="paragraph" w:styleId="Subtitle">
    <w:name w:val="Subtitle"/>
    <w:basedOn w:val="Title"/>
    <w:qFormat/>
    <w:pPr>
      <w:keepNext/>
      <w:keepLines/>
      <w:spacing w:before="240" w:after="240"/>
      <w:jc w:val="center"/>
    </w:pPr>
    <w:rPr>
      <w:sz w:val="30"/>
      <w:szCs w:val="30"/>
    </w:rPr>
  </w:style>
  <w:style w:type="paragraph" w:styleId="Author" w:customStyle="1">
    <w:name w:val="Author"/>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Date">
    <w:name w:val="Date"/>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Abstract" w:customStyle="1">
    <w:name w:val="Abstract"/>
    <w:basedOn w:val="Normal"/>
    <w:qFormat/>
    <w:pPr>
      <w:keepNext/>
      <w:keepLines/>
      <w:spacing w:before="300" w:after="300"/>
    </w:pPr>
    <w:rPr>
      <w:sz w:val="20"/>
      <w:szCs w:val="20"/>
    </w:rPr>
  </w:style>
  <w:style w:type="paragraph" w:styleId="Bibliography">
    <w:name w:val="Bibliography"/>
    <w:basedOn w:val="Normal"/>
    <w:qFormat/>
    <w:pPr/>
    <w:rPr/>
  </w:style>
  <w:style w:type="paragraph" w:styleId="BlockText">
    <w:name w:val="Block Text"/>
    <w:basedOn w:val="TextBody"/>
    <w:uiPriority w:val="9"/>
    <w:unhideWhenUsed/>
    <w:qFormat/>
    <w:pPr>
      <w:spacing w:before="100" w:after="100"/>
      <w:ind w:hanging="0"/>
    </w:pPr>
    <w:rPr>
      <w:rFonts w:ascii="Calibri" w:hAnsi="Calibri" w:eastAsia="" w:cs="" w:asciiTheme="majorHAnsi" w:cstheme="majorBidi" w:eastAsiaTheme="majorEastAsia" w:hAnsiTheme="majorHAnsi"/>
      <w:bCs/>
      <w:sz w:val="20"/>
      <w:szCs w:val="20"/>
    </w:rPr>
  </w:style>
  <w:style w:type="paragraph" w:styleId="Footnote">
    <w:name w:val="Footnote Text"/>
    <w:basedOn w:val="Normal"/>
    <w:uiPriority w:val="9"/>
    <w:unhideWhenUsed/>
    <w:qFormat/>
    <w:pPr/>
    <w:rPr/>
  </w:style>
  <w:style w:type="paragraph" w:styleId="DefinitionTerm" w:customStyle="1">
    <w:name w:val="Definition Term"/>
    <w:basedOn w:val="Normal"/>
    <w:qFormat/>
    <w:pPr>
      <w:keepNext/>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FigurewithCaption" w:customStyle="1">
    <w:name w:val="Figure with Caption"/>
    <w:basedOn w:val="Figure"/>
    <w:qFormat/>
    <w:pPr>
      <w:keepNext/>
    </w:pPr>
    <w:rPr/>
  </w:style>
  <w:style w:type="paragraph" w:styleId="TOCHeading">
    <w:name w:val="TOC Heading"/>
    <w:basedOn w:val="Heading1"/>
    <w:uiPriority w:val="39"/>
    <w:unhideWhenUsed/>
    <w:qFormat/>
    <w:pPr>
      <w:bidi w:val="0"/>
      <w:spacing w:lineRule="auto" w:line="259" w:before="240" w:after="0"/>
      <w:jc w:val="left"/>
    </w:pPr>
    <w:rPr>
      <w:rFonts w:ascii="Calibri" w:hAnsi="Calibri" w:eastAsia="" w:cs="" w:asciiTheme="majorHAnsi" w:cstheme="majorBidi" w:eastAsiaTheme="majorEastAsia" w:hAnsiTheme="majorHAnsi"/>
      <w:b w:val="false"/>
      <w:bCs w:val="false"/>
      <w:color w:val="C0143C" w:themeShade="bf"/>
    </w:rPr>
  </w:style>
  <w:style w:type="paragraph" w:styleId="Disclaimer">
    <w:name w:val="Disclaimer"/>
    <w:basedOn w:val="Normal"/>
    <w:qFormat/>
    <w:pPr>
      <w:pBdr>
        <w:top w:val="single" w:sz="2" w:space="1" w:color="000001"/>
        <w:left w:val="single" w:sz="2" w:space="1" w:color="000001"/>
        <w:bottom w:val="single" w:sz="2" w:space="1" w:color="000001"/>
        <w:right w:val="single" w:sz="2" w:space="1" w:color="000001"/>
      </w:pBdr>
      <w:shd w:val="clear" w:fill="DDDDDD"/>
      <w:bidi w:val="0"/>
      <w:spacing w:before="101" w:after="101"/>
      <w:jc w:val="both"/>
    </w:pPr>
    <w:rPr/>
  </w:style>
  <w:style w:type="paragraph" w:styleId="BlackStrips">
    <w:name w:val="Black Strips"/>
    <w:basedOn w:val="Normal"/>
    <w:qFormat/>
    <w:pPr>
      <w:shd w:val="clear" w:fill="000000"/>
      <w:bidi w:val="0"/>
      <w:jc w:val="center"/>
    </w:pPr>
    <w:rPr>
      <w:color w:val="FFFFFF"/>
    </w:rPr>
  </w:style>
  <w:style w:type="paragraph" w:styleId="DisclaimerBold">
    <w:name w:val="Disclaimer Bold"/>
    <w:basedOn w:val="Disclaimer"/>
    <w:qFormat/>
    <w:pPr>
      <w:shd w:val="clear" w:fill="DDDDDD"/>
      <w:bidi w:val="0"/>
      <w:jc w:val="left"/>
    </w:pPr>
    <w:rPr>
      <w:b/>
    </w:rPr>
  </w:style>
  <w:style w:type="paragraph" w:styleId="ReadOnline">
    <w:name w:val="Read Online"/>
    <w:basedOn w:val="Normal"/>
    <w:qFormat/>
    <w:pPr>
      <w:bidi w:val="0"/>
      <w:jc w:val="center"/>
    </w:pPr>
    <w:rPr>
      <w:sz w:val="28"/>
      <w:u w:val="single"/>
    </w:rPr>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openxmlformats.org/officeDocument/2006/relationships/footnotes" Target="footnotes.xml"/><Relationship Id="rId8" Type="http://schemas.openxmlformats.org/officeDocument/2006/relationships/comments" Target="comments.xml"/><Relationship Id="rId56" Type="http://schemas.openxmlformats.org/officeDocument/2006/relationships/hyperlink" Target="http://company.cnstock.com/company/scp_gsxw/201911/4454321.htm" TargetMode="External"/><Relationship Id="rId44" Type="http://schemas.openxmlformats.org/officeDocument/2006/relationships/hyperlink" Target="http://news.cnstock.com/industry,rdjj-201911-4453353.htm" TargetMode="External"/><Relationship Id="rId30" Type="http://schemas.openxmlformats.org/officeDocument/2006/relationships/hyperlink" Target="http://news.cnstock.com/news,bwkx-201911-4453021.htm" TargetMode="External"/><Relationship Id="rId32" Type="http://schemas.openxmlformats.org/officeDocument/2006/relationships/hyperlink" Target="http://news.cnstock.com/news,bwkx-201911-4453027.htm" TargetMode="External"/><Relationship Id="rId28" Type="http://schemas.openxmlformats.org/officeDocument/2006/relationships/hyperlink" Target="http://news.cnstock.com/news,bwkx-201911-4453055.htm" TargetMode="External"/><Relationship Id="rId47" Type="http://schemas.openxmlformats.org/officeDocument/2006/relationships/hyperlink" Target="http://news.cnstock.com/news,bwkx-201911-4453079.htm" TargetMode="External"/><Relationship Id="rId53" Type="http://schemas.openxmlformats.org/officeDocument/2006/relationships/hyperlink" Target="http://news.cnstock.com/news,bwkx-201911-4453192.htm" TargetMode="External"/><Relationship Id="rId51" Type="http://schemas.openxmlformats.org/officeDocument/2006/relationships/hyperlink" Target="http://news.cnstock.com/news,bwkx-201911-4454127.htm" TargetMode="External"/><Relationship Id="rId49" Type="http://schemas.openxmlformats.org/officeDocument/2006/relationships/hyperlink" Target="http://news.cnstock.com/news,bwkx-201911-4454587.htm" TargetMode="External"/><Relationship Id="rId24" Type="http://schemas.openxmlformats.org/officeDocument/2006/relationships/hyperlink" Target="http://news.cnstock.com/news,bwkx-201911-4454605.htm" TargetMode="External"/><Relationship Id="rId26" Type="http://schemas.openxmlformats.org/officeDocument/2006/relationships/hyperlink" Target="http://news.cnstock.com/news,bwkx-201911-4454607.htm" TargetMode="External"/><Relationship Id="rId36" Type="http://schemas.openxmlformats.org/officeDocument/2006/relationships/hyperlink" Target="http://news.cnstock.com/news,bwkx-201911-4454823.htm" TargetMode="External"/><Relationship Id="rId34" Type="http://schemas.openxmlformats.org/officeDocument/2006/relationships/hyperlink" Target="http://news.cnstock.com/news,yw-201911-4452747.htm" TargetMode="External"/><Relationship Id="rId38" Type="http://schemas.openxmlformats.org/officeDocument/2006/relationships/hyperlink" Target="http://news.cnstock.com/news,yw-201911-4453373.htm" TargetMode="External"/><Relationship Id="rId41" Type="http://schemas.openxmlformats.org/officeDocument/2006/relationships/hyperlink" Target="https://finance.sina.com.cn/china/2019-11-20/doc-iihnzahi2246440.shtml" TargetMode="External"/><Relationship Id="rId9" Type="http://schemas.openxmlformats.org/officeDocument/2006/relationships/hyperlink" Target="http://www.charltonslaw.com.cn/shang-qi-suo-fa-bu-guan-yu-luo-shi-chuan-tou-shi-jian-guan-xiang-guan-yao-qiu-de-tong-zhi" TargetMode="External"/><Relationship Id="rId10" Type="http://schemas.openxmlformats.org/officeDocument/2006/relationships/hyperlink" Target="mailto:unsubscribe@charltonslaw.com?subject=unsubscribe -Hong Kong Law-" TargetMode="External"/></Relationships>
</file>

<file path=word/_rels/footnotes.xml.rels><?xml version='1.0' encoding='UTF-8' standalone='yes'?>
<Relationships xmlns="http://schemas.openxmlformats.org/package/2006/relationships"><Relationship Id="rId56" Type="http://schemas.openxmlformats.org/officeDocument/2006/relationships/hyperlink" Target="http://company.cnstock.com/company/scp_gsxw/201911/4454321.htm" TargetMode="External"/><Relationship Id="rId44" Type="http://schemas.openxmlformats.org/officeDocument/2006/relationships/hyperlink" Target="http://news.cnstock.com/industry,rdjj-201911-4453353.htm" TargetMode="External"/><Relationship Id="rId30" Type="http://schemas.openxmlformats.org/officeDocument/2006/relationships/hyperlink" Target="http://news.cnstock.com/news,bwkx-201911-4453021.htm" TargetMode="External"/><Relationship Id="rId32" Type="http://schemas.openxmlformats.org/officeDocument/2006/relationships/hyperlink" Target="http://news.cnstock.com/news,bwkx-201911-4453027.htm" TargetMode="External"/><Relationship Id="rId28" Type="http://schemas.openxmlformats.org/officeDocument/2006/relationships/hyperlink" Target="http://news.cnstock.com/news,bwkx-201911-4453055.htm" TargetMode="External"/><Relationship Id="rId47" Type="http://schemas.openxmlformats.org/officeDocument/2006/relationships/hyperlink" Target="http://news.cnstock.com/news,bwkx-201911-4453079.htm" TargetMode="External"/><Relationship Id="rId53" Type="http://schemas.openxmlformats.org/officeDocument/2006/relationships/hyperlink" Target="http://news.cnstock.com/news,bwkx-201911-4453192.htm" TargetMode="External"/><Relationship Id="rId51" Type="http://schemas.openxmlformats.org/officeDocument/2006/relationships/hyperlink" Target="http://news.cnstock.com/news,bwkx-201911-4454127.htm" TargetMode="External"/><Relationship Id="rId49" Type="http://schemas.openxmlformats.org/officeDocument/2006/relationships/hyperlink" Target="http://news.cnstock.com/news,bwkx-201911-4454587.htm" TargetMode="External"/><Relationship Id="rId24" Type="http://schemas.openxmlformats.org/officeDocument/2006/relationships/hyperlink" Target="http://news.cnstock.com/news,bwkx-201911-4454605.htm" TargetMode="External"/><Relationship Id="rId26" Type="http://schemas.openxmlformats.org/officeDocument/2006/relationships/hyperlink" Target="http://news.cnstock.com/news,bwkx-201911-4454607.htm" TargetMode="External"/><Relationship Id="rId36" Type="http://schemas.openxmlformats.org/officeDocument/2006/relationships/hyperlink" Target="http://news.cnstock.com/news,bwkx-201911-4454823.htm" TargetMode="External"/><Relationship Id="rId34" Type="http://schemas.openxmlformats.org/officeDocument/2006/relationships/hyperlink" Target="http://news.cnstock.com/news,yw-201911-4452747.htm" TargetMode="External"/><Relationship Id="rId38" Type="http://schemas.openxmlformats.org/officeDocument/2006/relationships/hyperlink" Target="http://news.cnstock.com/news,yw-201911-4453373.htm" TargetMode="External"/><Relationship Id="rId41" Type="http://schemas.openxmlformats.org/officeDocument/2006/relationships/hyperlink" Target="https://finance.sina.com.cn/china/2019-11-20/doc-iihnzahi2246440.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Application>LibreOffice/5.3.2.2$MacOSX_X86_64 LibreOffice_project/6cd4f1ef626f15116896b1d8e1398b56da0d0ee1</Application>
  <Pages>1</Pages>
  <Words>2</Words>
  <Characters>11</Characters>
  <CharactersWithSpaces>12</CharactersWithSpaces>
  <Paragraphs>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2019-11-22T03:37:09Z</dcterms:created>
  <dcterms:modified xsi:type="dcterms:W3CDTF">2019-11-22T03:37:09Z</dcterms:modified>
</cp:coreProperties>
</file>