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- 2020年1月17日</w:t>
      </w:r>
    </w:p>
    <w:p>
      <w:pPr>
        <w:pStyle w:val="ReadOnline"/>
      </w:pPr>
      <w:hyperlink r:id="rId9">
        <w:r>
          <w:rPr/>
          <w:t>online version</w:t>
        </w:r>
      </w:hyperlink>
    </w:p>
    <w:p>
      <w:pPr>
        <w:pStyle w:val="Title"/>
      </w:pPr>
      <w:r>
        <w:t>沪深交易所发布银行参与债券交易结算的有关事项</w:t>
      </w:r>
    </w:p>
    <w:p>
      <w:pPr>
        <w:pStyle w:val="Heading2"/>
      </w:pPr>
      <w:bookmarkStart w:id="21" w:name="简介"/>
      <w:r>
        <w:t xml:space="preserve">简介</w:t>
      </w:r>
      <w:bookmarkEnd w:id="21"/>
    </w:p>
    <w:p>
      <w:pPr>
        <w:pStyle w:val="FirstParagraph"/>
      </w:pPr>
      <w:r>
        <w:t xml:space="preserve">沪深交易所发布银行参与债券交易结算的有关事项；证监会发布实施四项新三板改革配套规则；LPR催化衍生品市场，利率期权试点锁定浮动风险</w:t>
      </w:r>
    </w:p>
    <w:p>
      <w:pPr>
        <w:pStyle w:val="Heading2"/>
      </w:pPr>
      <w:bookmarkStart w:id="22" w:name="资本市场"/>
      <w:r>
        <w:t xml:space="preserve">资本市场</w:t>
      </w:r>
      <w:bookmarkEnd w:id="22"/>
    </w:p>
    <w:p>
      <w:pPr>
        <w:pStyle w:val="Heading3"/>
      </w:pPr>
      <w:bookmarkStart w:id="23" w:name="沪深交易所发布银行参与债券交易结算的有关事项"/>
      <w:r>
        <w:t xml:space="preserve">沪深交易所发布银行参与债券交易结算的有关事项</w:t>
      </w:r>
      <w:bookmarkEnd w:id="23"/>
    </w:p>
    <w:p>
      <w:pPr>
        <w:pStyle w:val="FirstParagraph"/>
      </w:pPr>
      <w:r>
        <w:t xml:space="preserve">为贯彻落实中国证监会、中国人民银行、中国银保监会《关于银行在证券交易所参与债券交易有关问题的通知》（证监发〔2019〕81号）精神，进一步扩大在证券交易所参与债券交易的银行范围，上交所、深交所分别发布关于银行参与深圳证券交易所债券交易结算有关事项的通知。</w:t>
      </w:r>
    </w:p>
    <w:p>
      <w:pPr>
        <w:pStyle w:val="TextBody"/>
      </w:pPr>
      <w:r>
        <w:t xml:space="preserve">通知明确了，政策性银行、国家开发银行、国有大型商业银行、股份制商业银行、城市商业银行、在华外资银行及境内上市的其他银行，可以进入交易所参与以下品种的交易；申请成为债券交易参与人，直接参与债券交易的条件及所需材料等。</w:t>
      </w:r>
    </w:p>
    <w:p>
      <w:pPr>
        <w:pStyle w:val="TextBody"/>
      </w:pPr>
      <w:hyperlink r:id="rId24">
        <w:r>
          <w:rPr>
            <w:rStyle w:val="Hyperlink"/>
          </w:rPr>
          <w:t xml:space="preserve">http://news.cnstock.com/news,bwkx-202001-4478061.htm</w:t>
        </w:r>
      </w:hyperlink>
    </w:p>
    <w:p>
      <w:pPr>
        <w:pStyle w:val="Heading3"/>
      </w:pPr>
      <w:bookmarkStart w:id="25" w:name="证监会发布实施四项新三板改革配套规则"/>
      <w:r>
        <w:t xml:space="preserve">证监会发布实施四项新三板改革配套规则</w:t>
      </w:r>
      <w:bookmarkEnd w:id="25"/>
    </w:p>
    <w:p>
      <w:pPr>
        <w:pStyle w:val="FirstParagraph"/>
      </w:pPr>
      <w:r>
        <w:t xml:space="preserve">为推动新三板各项改革措施平稳落地，近日，证监会发布实施了4项新三板改革配套规则，包括对定向发行格式准则进行修订，同时制定了创新层、基础层企业的年报格式准则等。新三板挂牌公司2019年年报也将依据新发布规则进行编制。</w:t>
      </w:r>
    </w:p>
    <w:p>
      <w:pPr>
        <w:pStyle w:val="TextBody"/>
      </w:pPr>
      <w:r>
        <w:t xml:space="preserve">此次发布的配套规则包括：对《非上市公众公司信息披露内容与格式准则第3号—定向发行说明书和发行情况报告书》、《非上市公众公司信息披露内容与格式准则第4号—定向发行申请文件》进行修订；制定《非上市公众公司信息披露内容与格式准则第9号—创新层挂牌公司年度报告》、《非上市公众公司信息披露内容与格式准则第10号—基础层挂牌公司年度报告》。</w:t>
      </w:r>
    </w:p>
    <w:p>
      <w:pPr>
        <w:pStyle w:val="TextBody"/>
      </w:pPr>
      <w:hyperlink r:id="rId26">
        <w:r>
          <w:rPr>
            <w:rStyle w:val="Hyperlink"/>
          </w:rPr>
          <w:t xml:space="preserve">http://jrz.cnstock.com/yw/202001/4477072.htm</w:t>
        </w:r>
      </w:hyperlink>
    </w:p>
    <w:p>
      <w:pPr>
        <w:pStyle w:val="Heading3"/>
      </w:pPr>
      <w:bookmarkStart w:id="27" w:name="lpr催化衍生品市场利率期权试点锁定浮动风险"/>
      <w:r>
        <w:t xml:space="preserve">LPR催化衍生品市场，利率期权试点锁定浮动风险</w:t>
      </w:r>
      <w:bookmarkEnd w:id="27"/>
    </w:p>
    <w:p>
      <w:pPr>
        <w:pStyle w:val="FirstParagraph"/>
      </w:pPr>
      <w:r>
        <w:t xml:space="preserve">外汇交易中心日前发布公告称，为更好发挥银行间利率衍生品市场对实体经济支持作用，满足市场成员利率风险管理需求，完善利率风险定价机制，经人民银行批复同意，全国银行间同业拆借中心（下称交易中心）将于2020年2月24日起试运行利率期权交易及相关服务。</w:t>
      </w:r>
    </w:p>
    <w:p>
      <w:pPr>
        <w:pStyle w:val="TextBody"/>
      </w:pPr>
      <w:r>
        <w:t xml:space="preserve">所谓利率期权，是一种与利率变化挂钩的期权，也是一项规避利率风险的有效工具。当市场利率向不利方向变化时，期权买方可以行权，从而锁定利率风险；当市场利率向有利方向变化时，期权买方又可以选择不行权，享受市场利率带来的优惠。</w:t>
      </w:r>
    </w:p>
    <w:p>
      <w:pPr>
        <w:pStyle w:val="TextBody"/>
      </w:pPr>
      <w:r>
        <w:t xml:space="preserve">此次试运行的利率期权交易品种为挂钩LPR1Y/LPR5Y的利率互换期权、利率上/下限期权，期权类型为欧式期权。交易中心称，有意参与利率期权交易的市场成员，需在今年2月7日前递交申请。</w:t>
      </w:r>
    </w:p>
    <w:p>
      <w:pPr>
        <w:pStyle w:val="TextBody"/>
      </w:pPr>
      <w:hyperlink r:id="rId28">
        <w:r>
          <w:rPr>
            <w:rStyle w:val="Hyperlink"/>
          </w:rPr>
          <w:t xml:space="preserve">http://news.cnstock.com/news,yw-202001-4475599.htm</w:t>
        </w:r>
      </w:hyperlink>
    </w:p>
    <w:p>
      <w:pPr>
        <w:pStyle w:val="Heading3"/>
      </w:pPr>
      <w:bookmarkStart w:id="29" w:name="非银金融机构行政许可事项实施办法修订银保监会公开征求意见"/>
      <w:r>
        <w:t xml:space="preserve">非银金融机构行政许可事项实施办法修订，银保监会公开征求意见</w:t>
      </w:r>
      <w:bookmarkEnd w:id="29"/>
    </w:p>
    <w:p>
      <w:pPr>
        <w:pStyle w:val="FirstParagraph"/>
      </w:pPr>
      <w:r>
        <w:t xml:space="preserve">为持续深化“放管服”改革，强化其他非银行金融机构（下称非银机构）监管，银保监会对《中国银保监会非银行金融机构行政许可事项实施办法》进行修订，起草了《中国银保监会非银行金融机构行政许可事项实施办法（征求意见稿）》（下称“征求意见稿”），2020年1月14日起向社会公开征求意见。</w:t>
      </w:r>
    </w:p>
    <w:p>
      <w:pPr>
        <w:pStyle w:val="TextBody"/>
      </w:pPr>
      <w:r>
        <w:t xml:space="preserve">征求意见稿所称非银行金融机构，包括经银保监会批准设立的金融资产管理公司、企业集团财务公司、金融租赁公司、汽车金融公司、货币经纪公司、消费金融公司、境外非银行金融机构驻华代表处等7类机构。</w:t>
      </w:r>
    </w:p>
    <w:p>
      <w:pPr>
        <w:pStyle w:val="TextBody"/>
      </w:pPr>
      <w:r>
        <w:t xml:space="preserve">而本次修订重点围绕以下三个方面：一是进一步规范和加强非银机构股权管理，强化与有关政策的配套衔接；二是进一步落实简政放权工作要求，精简审批事项，优化许可条件及程序；三是进一步完善相关规定，解决监管实践中遇到的新情况、新问题。</w:t>
      </w:r>
    </w:p>
    <w:p>
      <w:pPr>
        <w:pStyle w:val="TextBody"/>
      </w:pPr>
      <w:hyperlink r:id="rId30">
        <w:r>
          <w:rPr>
            <w:rStyle w:val="Hyperlink"/>
          </w:rPr>
          <w:t xml:space="preserve">http://news.cnstock.com/news,yw-202001-4477742.htm</w:t>
        </w:r>
      </w:hyperlink>
    </w:p>
    <w:p>
      <w:pPr>
        <w:pStyle w:val="Heading3"/>
      </w:pPr>
      <w:bookmarkStart w:id="31" w:name="年首个商品期权菜籽粕期权今日亮相郑商所"/>
      <w:r>
        <w:t xml:space="preserve">2020年首个商品期权菜籽粕期权今日亮相郑商所</w:t>
      </w:r>
      <w:bookmarkEnd w:id="31"/>
    </w:p>
    <w:p>
      <w:pPr>
        <w:pStyle w:val="FirstParagraph"/>
      </w:pPr>
      <w:r>
        <w:t xml:space="preserve">2020年1月16日，菜籽粕期权在郑州商品交易所正式挂牌交易，成为继白糖、棉花、PTA和甲醇等期权后郑商所上市的第5个期权品种。这也是我国第11个商品期权，将进一步丰富油脂油料行业避险工具体系。</w:t>
      </w:r>
    </w:p>
    <w:p>
      <w:pPr>
        <w:pStyle w:val="TextBody"/>
      </w:pPr>
      <w:r>
        <w:t xml:space="preserve">根据郑商所此前公告，首日挂牌合约包括标的月份为2005、2007及2009的菜籽粕期权合约。</w:t>
      </w:r>
    </w:p>
    <w:p>
      <w:pPr>
        <w:pStyle w:val="TextBody"/>
      </w:pPr>
      <w:r>
        <w:t xml:space="preserve">1月16日当晚起，菜籽粕期权合约开展夜盘交易。菜籽粕期权合约夜盘交易时间与菜籽粕期货合约相同。</w:t>
      </w:r>
    </w:p>
    <w:p>
      <w:pPr>
        <w:pStyle w:val="TextBody"/>
      </w:pPr>
      <w:hyperlink r:id="rId32">
        <w:r>
          <w:rPr>
            <w:rStyle w:val="Hyperlink"/>
          </w:rPr>
          <w:t xml:space="preserve">http://news.cnstock.com/news,bwkx-202001-4478543.htm</w:t>
        </w:r>
      </w:hyperlink>
    </w:p>
    <w:p>
      <w:pPr>
        <w:pStyle w:val="Heading3"/>
      </w:pPr>
      <w:bookmarkStart w:id="33" w:name="金融委办公室地方协调机制建立"/>
      <w:r>
        <w:t xml:space="preserve">金融委办公室地方协调机制建立</w:t>
      </w:r>
      <w:bookmarkEnd w:id="33"/>
    </w:p>
    <w:p>
      <w:pPr>
        <w:pStyle w:val="FirstParagraph"/>
      </w:pPr>
      <w:r>
        <w:t xml:space="preserve">经国务院同意，近日国务院金融稳定发展委员会办公室（下称金融委办公室）印发《国务院金融稳定发展委员会办公室关于建立地方协调机制的意见》（金融委办发〔2020〕1号），将在各省（区、市）建立金融委办公室地方协调机制，加强中央和地方在金融监管、风险处置、信息共享和消费者权益保护等方面的协作。</w:t>
      </w:r>
    </w:p>
    <w:p>
      <w:pPr>
        <w:pStyle w:val="TextBody"/>
      </w:pPr>
      <w:r>
        <w:t xml:space="preserve">金融委办公室地方协调机制设在人民银行省级分支机构，由其主要负责同志担任召集人，银保监会、证监会、外汇局省级派出机构、省级地方金融监管部门主要负责同志以及省级发展改革部门、财政部门负责同志为成员。</w:t>
      </w:r>
    </w:p>
    <w:p>
      <w:pPr>
        <w:pStyle w:val="TextBody"/>
      </w:pPr>
      <w:hyperlink r:id="rId34">
        <w:r>
          <w:rPr>
            <w:rStyle w:val="Hyperlink"/>
          </w:rPr>
          <w:t xml:space="preserve">http://news.cnstock.com/news,bwkx-202001-4477511.htm</w:t>
        </w:r>
      </w:hyperlink>
    </w:p>
    <w:p>
      <w:pPr>
        <w:pStyle w:val="Heading3"/>
      </w:pPr>
      <w:bookmarkStart w:id="35" w:name="财政部印发金融机构国有股权董事管理暂行办法"/>
      <w:r>
        <w:t xml:space="preserve">财政部印发《金融机构国有股权董事管理暂行办法》</w:t>
      </w:r>
      <w:bookmarkEnd w:id="35"/>
    </w:p>
    <w:p>
      <w:pPr>
        <w:pStyle w:val="FirstParagraph"/>
      </w:pPr>
      <w:r>
        <w:t xml:space="preserve">为贯彻落实《中共中央国务院关于完善国有金融资本管理的指导意见》精神，加强金融机构国有股权董事管理，明确股权董事职责，规范工作程序，确保股权董事有效履行权利和义务，维护国有金融资本安全和国有出资人合法权益，财政部部制定了《金融机构国有股权董事管理暂行办法》。</w:t>
      </w:r>
    </w:p>
    <w:p>
      <w:pPr>
        <w:pStyle w:val="TextBody"/>
      </w:pPr>
      <w:hyperlink r:id="rId36">
        <w:r>
          <w:rPr>
            <w:rStyle w:val="Hyperlink"/>
          </w:rPr>
          <w:t xml:space="preserve">http://news.cnstock.com/news,bwkx-202001-4477493.htm</w:t>
        </w:r>
      </w:hyperlink>
    </w:p>
    <w:p>
      <w:pPr>
        <w:pStyle w:val="Heading2"/>
      </w:pPr>
      <w:bookmarkStart w:id="37" w:name="税收"/>
      <w:r>
        <w:t xml:space="preserve">税收</w:t>
      </w:r>
      <w:bookmarkEnd w:id="37"/>
    </w:p>
    <w:p>
      <w:pPr>
        <w:pStyle w:val="Heading3"/>
      </w:pPr>
      <w:bookmarkStart w:id="38" w:name="五部门印发重大技术装备进口税收政策管理办法"/>
      <w:r>
        <w:t xml:space="preserve">五部门印发《重大技术装备进口税收政策管理办法》</w:t>
      </w:r>
      <w:bookmarkEnd w:id="38"/>
    </w:p>
    <w:p>
      <w:pPr>
        <w:pStyle w:val="FirstParagraph"/>
      </w:pPr>
      <w:r>
        <w:t xml:space="preserve">2020年1月13日，为继续支持我国重大技术装备制造业发展，财政部会同工业和信息化部、海关总署、税务总局、能源局制定了《重大技术装备进口税收政策管理办法》，现予印发，自印发之日起实施。</w:t>
      </w:r>
    </w:p>
    <w:p>
      <w:pPr>
        <w:pStyle w:val="TextBody"/>
      </w:pPr>
      <w:hyperlink r:id="rId39">
        <w:r>
          <w:rPr>
            <w:rStyle w:val="Hyperlink"/>
          </w:rPr>
          <w:t xml:space="preserve">http://news.cnstock.com/news,bwkx-202001-4476845.htm</w:t>
        </w:r>
      </w:hyperlink>
    </w:p>
    <w:p>
      <w:pPr>
        <w:pStyle w:val="Heading2"/>
      </w:pPr>
      <w:bookmarkStart w:id="40" w:name="知产"/>
      <w:r>
        <w:t xml:space="preserve">知产</w:t>
      </w:r>
      <w:bookmarkEnd w:id="40"/>
    </w:p>
    <w:p>
      <w:pPr>
        <w:pStyle w:val="Heading3"/>
      </w:pPr>
      <w:bookmarkStart w:id="41" w:name="国家知识产权局知识产权强国战略纲要初稿已形成"/>
      <w:r>
        <w:t xml:space="preserve">国家知识产权局：知识产权强国战略纲要初稿已形成</w:t>
      </w:r>
      <w:bookmarkEnd w:id="41"/>
    </w:p>
    <w:p>
      <w:pPr>
        <w:pStyle w:val="FirstParagraph"/>
      </w:pPr>
      <w:r>
        <w:t xml:space="preserve">2020年1月14日的国家知识产权局新闻发布会上，国家知识产权局表示，知识产权强国战略纲要初稿已形成。2020年，国家知识产权局将进一步加强对纲要制定的研究论证和统筹协调，完成知识产权强国战略纲要的文本编制工作并按程序报批。</w:t>
      </w:r>
    </w:p>
    <w:p>
      <w:pPr>
        <w:pStyle w:val="TextBody"/>
      </w:pPr>
      <w:r>
        <w:t xml:space="preserve">当日，国家知识产权局集中发布了2019年专利、商标、地理标志、集成电路布图设计的年度统计数据。数据显示，2019年，我国主要知识产权指标总体平稳、稳中有进，知识产权质量效益持续提升。2019年统计数据呈现三个特点。一是知识产权源头保护能力不断增强。2019年，我国发明专利授权量同比增长4.8%，商标注册量同比增长27.9%，高价值专利的审查周期和商标注册平均审查周期都在压缩。二是知识产权政策更加贴合市场需求。我国规模以上工业企业中，有专利申请的企业比重达到22.3%；2019年，国内发明专利申请中企业比重达到65%，较上年提高0.6个百分点；市场主体平均有效商标拥有量稳步提升。三是知识产权有力支撑更高水平对外开放。2019年，国外在华发明专利申请量达到15.7万件，较上年增长6%；国外在华商标申请量达到25.5万件，较上年增长4.7%。</w:t>
      </w:r>
    </w:p>
    <w:p>
      <w:pPr>
        <w:pStyle w:val="TextBody"/>
      </w:pPr>
      <w:hyperlink r:id="rId42">
        <w:r>
          <w:rPr>
            <w:rStyle w:val="Hyperlink"/>
          </w:rPr>
          <w:t xml:space="preserve">http://news.cnstock.com/industry,rdjj-202001-4477798.htm</w:t>
        </w:r>
      </w:hyperlink>
    </w:p>
    <w:p>
      <w:pPr>
        <w:pStyle w:val="Heading3"/>
      </w:pPr>
      <w:bookmarkStart w:id="43" w:name="北京知识产权保险试点启动可通过北京小微企业金融综合服务平台申报"/>
      <w:r>
        <w:t xml:space="preserve">北京知识产权保险试点启动，可通过北京小微企业金融综合服务平台申报</w:t>
      </w:r>
      <w:bookmarkEnd w:id="43"/>
    </w:p>
    <w:p>
      <w:pPr>
        <w:pStyle w:val="FirstParagraph"/>
      </w:pPr>
      <w:r>
        <w:t xml:space="preserve">为探索运用现代金融工具提高知识产权保护能力和水平，进一步激发创新创业热情、吸引国内外智力资源、优化首都营商环境，由北京市知识产权局、北京市地方金融监管局、北京市财政局、北京市经信局等共同推动的北京市知识产权保险试点工作于2020年1月10日正式启动。</w:t>
      </w:r>
    </w:p>
    <w:p>
      <w:pPr>
        <w:pStyle w:val="TextBody"/>
      </w:pPr>
      <w:r>
        <w:t xml:space="preserve">本次试点工作为期3年，试点期间，对投保专利执行保险、专利被侵权保险或两种保险组合产品的单项冠军企业和重点领域中小微企业，政府将给予保费补贴。此外，来京发展的外资隐形冠军企业也将纳入试点范围。</w:t>
      </w:r>
    </w:p>
    <w:p>
      <w:pPr>
        <w:pStyle w:val="TextBody"/>
      </w:pPr>
      <w:r>
        <w:t xml:space="preserve">所谓单项冠军企业，是指长期专注于某些特定细分产品市场，生产技术或工艺国际领先，单项产品市场占有率位居全国前列的企业；所谓隐形冠军企业，则是指那些不为公众所熟知，却在某个细分行业或市场占据领先地位，拥有核心竞争力和明确战略，其产品、服务难以被超越和模仿的中小型企业。</w:t>
      </w:r>
    </w:p>
    <w:p>
      <w:pPr>
        <w:pStyle w:val="TextBody"/>
      </w:pPr>
      <w:r>
        <w:t xml:space="preserve">针对专利类知识产权维权过程中存在的诉讼费用大、举证成本高等问题，试点工作对相关保险产品提出了提高保障倍数、延长保障期限、加强风险防范功能等要求，通过发挥保险经济补偿与风险防范的双重功能。</w:t>
      </w:r>
    </w:p>
    <w:p>
      <w:pPr>
        <w:pStyle w:val="TextBody"/>
      </w:pPr>
      <w:r>
        <w:t xml:space="preserve">企业参与试点可通过北京小微企业金融综合服务平台进行申报。</w:t>
      </w:r>
    </w:p>
    <w:p>
      <w:pPr>
        <w:pStyle w:val="TextBody"/>
      </w:pPr>
      <w:hyperlink r:id="rId44">
        <w:r>
          <w:rPr>
            <w:rStyle w:val="Hyperlink"/>
          </w:rPr>
          <w:t xml:space="preserve">http://news.cnstock.com/news,bwkx-202001-4475897.htm</w:t>
        </w:r>
      </w:hyperlink>
    </w:p>
    <w:p>
      <w:pPr>
        <w:pStyle w:val="Heading2"/>
      </w:pPr>
      <w:bookmarkStart w:id="45" w:name="行业"/>
      <w:r>
        <w:t xml:space="preserve">行业</w:t>
      </w:r>
      <w:bookmarkEnd w:id="45"/>
    </w:p>
    <w:p>
      <w:pPr>
        <w:pStyle w:val="Heading3"/>
      </w:pPr>
      <w:bookmarkStart w:id="46" w:name="上海推进科创中心建设条例草案出炉"/>
      <w:r>
        <w:t xml:space="preserve">上海推进科创中心建设条例（草案）出炉</w:t>
      </w:r>
      <w:bookmarkEnd w:id="46"/>
    </w:p>
    <w:p>
      <w:pPr>
        <w:pStyle w:val="FirstParagraph"/>
      </w:pPr>
      <w:r>
        <w:t xml:space="preserve">2020年1月15日召开的上海市第十五届人民代表大会第三次会议就《上海市推进科技创新中心建设条例（草案）》（以下简称《条例（草案）》）进行了审议。</w:t>
      </w:r>
    </w:p>
    <w:p>
      <w:pPr>
        <w:pStyle w:val="TextBody"/>
      </w:pPr>
      <w:r>
        <w:t xml:space="preserve">《条例（草案）》包括总则、创新主体建设、创新能力建设、聚焦张江推进承载区建设、人才环境建设、金融环境建设、知识产权保护、社会环境建设以及附则等共9章、56条内容。</w:t>
      </w:r>
    </w:p>
    <w:p>
      <w:pPr>
        <w:pStyle w:val="TextBody"/>
      </w:pPr>
      <w:hyperlink r:id="rId47">
        <w:r>
          <w:rPr>
            <w:rStyle w:val="Hyperlink"/>
          </w:rPr>
          <w:t xml:space="preserve">http://news.cnstock.com/news,bwkx-202001-4477970.htm</w:t>
        </w:r>
      </w:hyperlink>
    </w:p>
    <w:p>
      <w:pPr>
        <w:pStyle w:val="Heading3"/>
      </w:pPr>
      <w:bookmarkStart w:id="48" w:name="上海市优化营商环境办法征求意见稿公开征求意见"/>
      <w:r>
        <w:t xml:space="preserve">《上海市优化营商环境办法（征求意见稿）》公开征求意见</w:t>
      </w:r>
      <w:bookmarkEnd w:id="48"/>
    </w:p>
    <w:p>
      <w:pPr>
        <w:pStyle w:val="FirstParagraph"/>
      </w:pPr>
      <w:r>
        <w:t xml:space="preserve">为贯彻党中央、国务院决策部署，打造贸易投资便利、行政效率高效、政府服务规范、法治完善的国际一流营商环境，激发各类市场主体活力，加快推进政府治理能力和治理体系现代化，根据市委、市政府工作安排，上海市发展和改革委员会会同市司法局、市政府办公厅、市经信委、市市场监管局等部门起草形成了《上海市优化营商环境办法（征求意见稿）》，（以下简称“《办法》”），现向社会公开征求意见。</w:t>
      </w:r>
    </w:p>
    <w:p>
      <w:pPr>
        <w:pStyle w:val="TextBody"/>
      </w:pPr>
      <w:r>
        <w:t xml:space="preserve">《办法》指出，国家市场准入负面清单以外的领域，各类市场主体均可以依法平等进入。此外，在中国（上海）自由贸易试验区和临港新片区探索实施更大力度的对外开放政策措施。</w:t>
      </w:r>
    </w:p>
    <w:p>
      <w:pPr>
        <w:pStyle w:val="TextBody"/>
      </w:pPr>
      <w:hyperlink r:id="rId49">
        <w:r>
          <w:rPr>
            <w:rStyle w:val="Hyperlink"/>
          </w:rPr>
          <w:t xml:space="preserve">http://news.cnstock.com/news,bwkx-202001-4476277.htm</w:t>
        </w:r>
      </w:hyperlink>
    </w:p>
    <w:p>
      <w:pPr>
        <w:pStyle w:val="Heading3"/>
      </w:pPr>
      <w:bookmarkStart w:id="50" w:name="我国将建短缺药品清单管理制度"/>
      <w:r>
        <w:t xml:space="preserve">我国将建短缺药品清单管理制度</w:t>
      </w:r>
      <w:bookmarkEnd w:id="50"/>
    </w:p>
    <w:p>
      <w:pPr>
        <w:pStyle w:val="FirstParagraph"/>
      </w:pPr>
      <w:r>
        <w:t xml:space="preserve">2020年1月15日，国家卫健委会同有关部门组织起草了《国家短缺药品清单管理办法（试行）（征求意见稿）》（下简称《征求意见稿》），正式公开征求意见。《征求意见稿》指出，为加强药品短缺风险预警，我国将组织制定国家短缺药品清单和临床必需易短缺药品重点监测清单，并建立动态调整机制。</w:t>
      </w:r>
    </w:p>
    <w:p>
      <w:pPr>
        <w:pStyle w:val="TextBody"/>
      </w:pPr>
      <w:hyperlink r:id="rId51">
        <w:r>
          <w:rPr>
            <w:rStyle w:val="Hyperlink"/>
          </w:rPr>
          <w:t xml:space="preserve">http://news.cnstock.com/industry,rdjj-202001-4478449.htm</w:t>
        </w:r>
      </w:hyperlink>
    </w:p>
    <w:p>
      <w:pPr>
        <w:pStyle w:val="Heading3"/>
      </w:pPr>
      <w:bookmarkStart w:id="52" w:name="广电总局印发全国地面数字电视广播频率规划"/>
      <w:r>
        <w:t xml:space="preserve">广电总局印发《全国地面数字电视广播频率规划》</w:t>
      </w:r>
      <w:bookmarkEnd w:id="52"/>
    </w:p>
    <w:p>
      <w:pPr>
        <w:pStyle w:val="FirstParagraph"/>
      </w:pPr>
      <w:r>
        <w:t xml:space="preserve">为加快推动地面电视数字化，进一步提升广播电视公共服务的质量和水平，近期，广电总局制定印发了《全国地面数字电视广播频率规划》（以下简称《规划》）。</w:t>
      </w:r>
    </w:p>
    <w:p>
      <w:pPr>
        <w:pStyle w:val="TextBody"/>
      </w:pPr>
      <w:r>
        <w:t xml:space="preserve">《规划》是优化广播电视无线频谱资源的一项重大政策调整，事关广播电视行业未来高质量发展的战略布局，是未来创新性发展的战略资源保障。《规划》充分考虑挖掘了广播电视无线频谱资源，为当前和未来广播电视融合发展预留了发展空间，对构建新型地面数字电视传输覆盖网具有重要指导意义。下一步，广电总局将组织有关单位编制全国地面数字电视广播频率规划指配方案，推动实现无线模拟电视向地面数字电视转换、原覆盖网频率迁向新覆盖网频率的平稳过渡。</w:t>
      </w:r>
    </w:p>
    <w:p>
      <w:pPr>
        <w:pStyle w:val="TextBody"/>
      </w:pPr>
      <w:hyperlink r:id="rId53">
        <w:r>
          <w:rPr>
            <w:rStyle w:val="Hyperlink"/>
          </w:rPr>
          <w:t xml:space="preserve">http://news.cnstock.com/news,bwkx-202001-4477997.htm</w:t>
        </w:r>
      </w:hyperlink>
    </w:p>
    <w:p>
      <w:pPr>
        <w:pStyle w:val="Heading3"/>
      </w:pPr>
      <w:bookmarkStart w:id="54" w:name="商务部等八部门发文推动服务外包加快转型升级加快企业数字化转型"/>
      <w:r>
        <w:t xml:space="preserve">商务部等八部门发文推动服务外包加快转型升级，加快企业数字化转型</w:t>
      </w:r>
      <w:bookmarkEnd w:id="54"/>
    </w:p>
    <w:p>
      <w:pPr>
        <w:pStyle w:val="FirstParagraph"/>
      </w:pPr>
      <w:r>
        <w:t xml:space="preserve">为贯彻落实党中央、国务院关于推进贸易高质量发展的部署要求，推动服务外包加快转型升级，商务部等八部门发布《关于推动服务外包加快转型升级的指导意见》（下简称《意见》）。</w:t>
      </w:r>
    </w:p>
    <w:p>
      <w:pPr>
        <w:pStyle w:val="TextBody"/>
      </w:pPr>
      <w:r>
        <w:t xml:space="preserve">《意见》提出主要任务共20项，包括支持信息技术外包发展，将企业开展云计算、基础软件、集成电路设计、区块链等信息技术研发和应用纳入国家科技计划（专项、基金等）支持范围。培育一批信息技术外包和制造业融合发展示范企业；培育新模式新业态，依托5G技术，大力发展众包、云外包、平台分包等新模式。积极推动工业互联网创新与融合应用，培育一批数字化制造外包平台，发展服务型制造等新业态；打造数字服务出口集聚区，依托服务贸易创新发展试点地区和国家服务外包示范城市，建设一批数字服务出口基地；创新金融支持手段，按市场化原则，充分发挥服务贸易创新发展引导基金作用，带动社会资本加大对服务外包产业投资，支持符合条件的综合服务提供商上市融资等。</w:t>
      </w:r>
    </w:p>
    <w:p>
      <w:pPr>
        <w:pStyle w:val="TextBody"/>
      </w:pPr>
      <w:hyperlink r:id="rId55">
        <w:r>
          <w:rPr>
            <w:rStyle w:val="Hyperlink"/>
          </w:rPr>
          <w:t xml:space="preserve">http://news.cnstock.com/news,bwkx-202001-4477314.htm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- 2020年1月17日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0404c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6" Type="http://schemas.openxmlformats.org/officeDocument/2006/relationships/hyperlink" Target="http://jrz.cnstock.com/yw/202001/4477072.htm" TargetMode="External"/><Relationship Id="rId42" Type="http://schemas.openxmlformats.org/officeDocument/2006/relationships/hyperlink" Target="http://news.cnstock.com/industry,rdjj-202001-4477798.htm" TargetMode="External"/><Relationship Id="rId51" Type="http://schemas.openxmlformats.org/officeDocument/2006/relationships/hyperlink" Target="http://news.cnstock.com/industry,rdjj-202001-4478449.htm" TargetMode="External"/><Relationship Id="rId44" Type="http://schemas.openxmlformats.org/officeDocument/2006/relationships/hyperlink" Target="http://news.cnstock.com/news,bwkx-202001-4475897.htm" TargetMode="External"/><Relationship Id="rId49" Type="http://schemas.openxmlformats.org/officeDocument/2006/relationships/hyperlink" Target="http://news.cnstock.com/news,bwkx-202001-4476277.htm" TargetMode="External"/><Relationship Id="rId39" Type="http://schemas.openxmlformats.org/officeDocument/2006/relationships/hyperlink" Target="http://news.cnstock.com/news,bwkx-202001-4476845.htm" TargetMode="External"/><Relationship Id="rId55" Type="http://schemas.openxmlformats.org/officeDocument/2006/relationships/hyperlink" Target="http://news.cnstock.com/news,bwkx-202001-4477314.htm" TargetMode="External"/><Relationship Id="rId36" Type="http://schemas.openxmlformats.org/officeDocument/2006/relationships/hyperlink" Target="http://news.cnstock.com/news,bwkx-202001-4477493.htm" TargetMode="External"/><Relationship Id="rId34" Type="http://schemas.openxmlformats.org/officeDocument/2006/relationships/hyperlink" Target="http://news.cnstock.com/news,bwkx-202001-4477511.htm" TargetMode="External"/><Relationship Id="rId47" Type="http://schemas.openxmlformats.org/officeDocument/2006/relationships/hyperlink" Target="http://news.cnstock.com/news,bwkx-202001-4477970.htm" TargetMode="External"/><Relationship Id="rId53" Type="http://schemas.openxmlformats.org/officeDocument/2006/relationships/hyperlink" Target="http://news.cnstock.com/news,bwkx-202001-4477997.htm" TargetMode="External"/><Relationship Id="rId24" Type="http://schemas.openxmlformats.org/officeDocument/2006/relationships/hyperlink" Target="http://news.cnstock.com/news,bwkx-202001-4478061.htm" TargetMode="External"/><Relationship Id="rId32" Type="http://schemas.openxmlformats.org/officeDocument/2006/relationships/hyperlink" Target="http://news.cnstock.com/news,bwkx-202001-4478543.htm" TargetMode="External"/><Relationship Id="rId28" Type="http://schemas.openxmlformats.org/officeDocument/2006/relationships/hyperlink" Target="http://news.cnstock.com/news,yw-202001-4475599.htm" TargetMode="External"/><Relationship Id="rId30" Type="http://schemas.openxmlformats.org/officeDocument/2006/relationships/hyperlink" Target="http://news.cnstock.com/news,yw-202001-4477742.htm" TargetMode="External"/><Relationship Id="rId9" Type="http://schemas.openxmlformats.org/officeDocument/2006/relationships/hyperlink" Target="http://www.charltonslaw.com.cn/hu-shen-jiao-yi-suo-fa-bu-yin-hang-can-yu-zhai-quan-jiao-yi-jie-suan-de-you-guan-shi-xia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jrz.cnstock.com/yw/202001/4477072.htm" TargetMode="External"/><Relationship Id="rId42" Type="http://schemas.openxmlformats.org/officeDocument/2006/relationships/hyperlink" Target="http://news.cnstock.com/industry,rdjj-202001-4477798.htm" TargetMode="External"/><Relationship Id="rId51" Type="http://schemas.openxmlformats.org/officeDocument/2006/relationships/hyperlink" Target="http://news.cnstock.com/industry,rdjj-202001-4478449.htm" TargetMode="External"/><Relationship Id="rId44" Type="http://schemas.openxmlformats.org/officeDocument/2006/relationships/hyperlink" Target="http://news.cnstock.com/news,bwkx-202001-4475897.htm" TargetMode="External"/><Relationship Id="rId49" Type="http://schemas.openxmlformats.org/officeDocument/2006/relationships/hyperlink" Target="http://news.cnstock.com/news,bwkx-202001-4476277.htm" TargetMode="External"/><Relationship Id="rId39" Type="http://schemas.openxmlformats.org/officeDocument/2006/relationships/hyperlink" Target="http://news.cnstock.com/news,bwkx-202001-4476845.htm" TargetMode="External"/><Relationship Id="rId55" Type="http://schemas.openxmlformats.org/officeDocument/2006/relationships/hyperlink" Target="http://news.cnstock.com/news,bwkx-202001-4477314.htm" TargetMode="External"/><Relationship Id="rId36" Type="http://schemas.openxmlformats.org/officeDocument/2006/relationships/hyperlink" Target="http://news.cnstock.com/news,bwkx-202001-4477493.htm" TargetMode="External"/><Relationship Id="rId34" Type="http://schemas.openxmlformats.org/officeDocument/2006/relationships/hyperlink" Target="http://news.cnstock.com/news,bwkx-202001-4477511.htm" TargetMode="External"/><Relationship Id="rId47" Type="http://schemas.openxmlformats.org/officeDocument/2006/relationships/hyperlink" Target="http://news.cnstock.com/news,bwkx-202001-4477970.htm" TargetMode="External"/><Relationship Id="rId53" Type="http://schemas.openxmlformats.org/officeDocument/2006/relationships/hyperlink" Target="http://news.cnstock.com/news,bwkx-202001-4477997.htm" TargetMode="External"/><Relationship Id="rId24" Type="http://schemas.openxmlformats.org/officeDocument/2006/relationships/hyperlink" Target="http://news.cnstock.com/news,bwkx-202001-4478061.htm" TargetMode="External"/><Relationship Id="rId32" Type="http://schemas.openxmlformats.org/officeDocument/2006/relationships/hyperlink" Target="http://news.cnstock.com/news,bwkx-202001-4478543.htm" TargetMode="External"/><Relationship Id="rId28" Type="http://schemas.openxmlformats.org/officeDocument/2006/relationships/hyperlink" Target="http://news.cnstock.com/news,yw-202001-4475599.htm" TargetMode="External"/><Relationship Id="rId30" Type="http://schemas.openxmlformats.org/officeDocument/2006/relationships/hyperlink" Target="http://news.cnstock.com/news,yw-202001-44777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2020-01-17T08:11:23Z</dcterms:created>
  <dcterms:modified xsi:type="dcterms:W3CDTF">2020-01-17T08:11:23Z</dcterms:modified>
</cp:coreProperties>
</file>